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5A035" w14:textId="77777777" w:rsidR="00F6718A" w:rsidRPr="00F6718A" w:rsidRDefault="00F6718A" w:rsidP="00F6718A">
      <w:pPr>
        <w:spacing w:before="180" w:after="0"/>
        <w:jc w:val="center"/>
      </w:pPr>
      <w:bookmarkStart w:id="0" w:name="_GoBack"/>
      <w:bookmarkEnd w:id="0"/>
    </w:p>
    <w:p w14:paraId="583FF0B6" w14:textId="77777777" w:rsidR="008A332F" w:rsidRDefault="00F6718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8025FB1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6718A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6718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E1DE084" w14:textId="77777777" w:rsidR="008A332F" w:rsidRPr="002B50C0" w:rsidRDefault="008A332F" w:rsidP="00F6718A">
      <w:pPr>
        <w:spacing w:after="12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79E73310" w14:textId="77777777" w:rsidTr="00CF03D9">
        <w:trPr>
          <w:trHeight w:val="74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3B1246" w14:textId="77777777" w:rsidR="00CA516B" w:rsidRPr="008A332F" w:rsidRDefault="00F2008A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8FE0C" w14:textId="77777777" w:rsidR="00E57B8E" w:rsidRPr="00A24608" w:rsidRDefault="00E57B8E" w:rsidP="00E5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Zapewnienie technicznych i organizacyjnych warunków</w:t>
            </w:r>
          </w:p>
          <w:p w14:paraId="1976B414" w14:textId="77777777" w:rsidR="00CA516B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funkcjonowania Systemu Dozoru Elektronicznego SDE3</w:t>
            </w:r>
          </w:p>
        </w:tc>
      </w:tr>
      <w:tr w:rsidR="00CA516B" w:rsidRPr="002B50C0" w14:paraId="46BD89F5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9ED7D0" w14:textId="77777777" w:rsidR="00CA516B" w:rsidRPr="008A332F" w:rsidRDefault="00CA516B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A08BA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24608">
              <w:rPr>
                <w:rFonts w:ascii="Arial" w:hAnsi="Arial" w:cs="Arial"/>
                <w:sz w:val="24"/>
                <w:szCs w:val="24"/>
              </w:rPr>
              <w:t>Minister Sprawiedliwości</w:t>
            </w:r>
          </w:p>
        </w:tc>
      </w:tr>
      <w:tr w:rsidR="00CA516B" w:rsidRPr="0030196F" w14:paraId="76C9B17E" w14:textId="77777777" w:rsidTr="00CF03D9">
        <w:trPr>
          <w:trHeight w:val="89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62534B" w14:textId="77777777" w:rsidR="00CA516B" w:rsidRPr="00725708" w:rsidRDefault="00CA516B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2558B" w14:textId="77777777" w:rsidR="00E57B8E" w:rsidRPr="00A24608" w:rsidRDefault="00E57B8E" w:rsidP="00F6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Służba Więzienna</w:t>
            </w:r>
          </w:p>
          <w:p w14:paraId="4B385B2F" w14:textId="77777777" w:rsidR="00E57B8E" w:rsidRPr="00A24608" w:rsidRDefault="00E57B8E" w:rsidP="00F671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Biuro Dozoru Elektronicznego Centralnego Zarządu Służby</w:t>
            </w:r>
          </w:p>
          <w:p w14:paraId="4C0F01ED" w14:textId="77777777" w:rsidR="00CA516B" w:rsidRPr="00A24608" w:rsidRDefault="00E57B8E" w:rsidP="00F6718A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Więziennej</w:t>
            </w:r>
          </w:p>
        </w:tc>
      </w:tr>
      <w:tr w:rsidR="00E57B8E" w:rsidRPr="002B50C0" w14:paraId="7669E8BC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AB2B28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6516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i/>
                <w:color w:val="0070C0"/>
              </w:rPr>
            </w:pPr>
            <w:r w:rsidRPr="00A24608">
              <w:rPr>
                <w:rFonts w:ascii="Arial" w:hAnsi="Arial" w:cs="Arial"/>
              </w:rPr>
              <w:t>Nie dotyczy</w:t>
            </w:r>
          </w:p>
        </w:tc>
      </w:tr>
      <w:tr w:rsidR="00E57B8E" w:rsidRPr="002B50C0" w14:paraId="547269DF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127C4A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3716CC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Budżet państwa - część 37 Sprawiedliwość</w:t>
            </w:r>
          </w:p>
        </w:tc>
      </w:tr>
      <w:tr w:rsidR="00E57B8E" w:rsidRPr="002B50C0" w14:paraId="139CBBCB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548114" w14:textId="77777777" w:rsidR="00E57B8E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14:paraId="78E8B9C6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BD526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96 616 500,00 zł</w:t>
            </w:r>
          </w:p>
        </w:tc>
      </w:tr>
      <w:tr w:rsidR="00E57B8E" w:rsidRPr="002B50C0" w14:paraId="0A6638A7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DD1BEE" w14:textId="77777777" w:rsidR="0098782C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</w:t>
            </w:r>
            <w:r w:rsidR="0098782C"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  <w:p w14:paraId="03857AB7" w14:textId="77777777" w:rsidR="0098782C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jektu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- wydatki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kwali</w:t>
            </w:r>
            <w:proofErr w:type="spellEnd"/>
          </w:p>
          <w:p w14:paraId="32C17EB2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63FB1" w14:textId="77777777" w:rsidR="00E57B8E" w:rsidRPr="00A24608" w:rsidRDefault="00E57B8E" w:rsidP="00E57B8E">
            <w:pPr>
              <w:spacing w:after="0" w:line="240" w:lineRule="auto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Projekt nie jest dofinansowany z funduszy UE</w:t>
            </w:r>
          </w:p>
        </w:tc>
      </w:tr>
      <w:tr w:rsidR="00E57B8E" w:rsidRPr="002B50C0" w14:paraId="45E1F66E" w14:textId="77777777" w:rsidTr="00E57B8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981FDC" w14:textId="77777777" w:rsidR="00E57B8E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>kres realizacji</w:t>
            </w:r>
          </w:p>
          <w:p w14:paraId="7D0AEF71" w14:textId="77777777" w:rsidR="00E57B8E" w:rsidRPr="008A332F" w:rsidRDefault="00E57B8E" w:rsidP="00A24608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90CEEB" w14:textId="77777777" w:rsidR="00E57B8E" w:rsidRPr="00A24608" w:rsidRDefault="00E57B8E" w:rsidP="00E57B8E">
            <w:pPr>
              <w:spacing w:after="0"/>
              <w:rPr>
                <w:rFonts w:ascii="Arial" w:hAnsi="Arial" w:cs="Arial"/>
              </w:rPr>
            </w:pPr>
            <w:r w:rsidRPr="00A24608">
              <w:rPr>
                <w:rFonts w:ascii="Arial" w:hAnsi="Arial" w:cs="Arial"/>
              </w:rPr>
              <w:t>Data rozpoczęcia realizacji projektu: 01-05-2018</w:t>
            </w:r>
          </w:p>
          <w:p w14:paraId="795ED36D" w14:textId="77777777" w:rsidR="00E57B8E" w:rsidRPr="00A24608" w:rsidRDefault="00E57B8E" w:rsidP="00E57B8E">
            <w:pPr>
              <w:spacing w:after="0"/>
              <w:rPr>
                <w:rFonts w:ascii="Arial" w:hAnsi="Arial" w:cs="Arial"/>
                <w:color w:val="0070C0"/>
              </w:rPr>
            </w:pPr>
            <w:r w:rsidRPr="00A24608">
              <w:rPr>
                <w:rFonts w:ascii="Arial" w:hAnsi="Arial" w:cs="Arial"/>
              </w:rPr>
              <w:t>Data zakończenia realizacji projektu: 01-10-2022</w:t>
            </w:r>
          </w:p>
        </w:tc>
      </w:tr>
    </w:tbl>
    <w:p w14:paraId="08B7C14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0C7EF9DF" w14:textId="77777777" w:rsidR="00CF03D9" w:rsidRPr="00E26352" w:rsidRDefault="004C1D48" w:rsidP="00CF03D9">
      <w:pPr>
        <w:spacing w:before="120" w:after="120"/>
        <w:ind w:firstLine="142"/>
        <w:jc w:val="both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F03D9" w:rsidRPr="00E26352">
        <w:rPr>
          <w:rFonts w:ascii="Arial" w:hAnsi="Arial" w:cs="Arial"/>
        </w:rPr>
        <w:t>Regulacje prawne niezbędne do wdrożenia produktów projektu są wprowadzane są w drodze następujących aktów prawnych:</w:t>
      </w:r>
    </w:p>
    <w:p w14:paraId="7E448626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zmiana </w:t>
      </w:r>
      <w:r w:rsidRPr="00E26352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E26352">
        <w:rPr>
          <w:rFonts w:ascii="Arial" w:hAnsi="Arial" w:cs="Arial"/>
        </w:rPr>
        <w:t xml:space="preserve"> Kodeks karny wykonawczy (Dz. U. z 1997 r., Nr 90, poz. 557, z </w:t>
      </w:r>
      <w:proofErr w:type="spellStart"/>
      <w:r w:rsidRPr="00E26352">
        <w:rPr>
          <w:rFonts w:ascii="Arial" w:hAnsi="Arial" w:cs="Arial"/>
        </w:rPr>
        <w:t>późn</w:t>
      </w:r>
      <w:proofErr w:type="spellEnd"/>
      <w:r w:rsidRPr="00E26352">
        <w:rPr>
          <w:rFonts w:ascii="Arial" w:hAnsi="Arial" w:cs="Arial"/>
        </w:rPr>
        <w:t>. zm.)</w:t>
      </w:r>
      <w:r>
        <w:rPr>
          <w:rFonts w:ascii="Arial" w:hAnsi="Arial" w:cs="Arial"/>
        </w:rPr>
        <w:t xml:space="preserve">  </w:t>
      </w:r>
      <w:r w:rsidRPr="00E263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proces zakończony</w:t>
      </w:r>
      <w:r w:rsidRPr="00A06DF8">
        <w:rPr>
          <w:rFonts w:ascii="titilliumRegular" w:hAnsi="titilliumRegular"/>
          <w:color w:val="525252"/>
          <w:sz w:val="21"/>
          <w:szCs w:val="21"/>
          <w:shd w:val="clear" w:color="auto" w:fill="FFFFFF"/>
        </w:rPr>
        <w:t xml:space="preserve"> </w:t>
      </w:r>
      <w:r>
        <w:rPr>
          <w:rFonts w:ascii="titilliumRegular" w:hAnsi="titilliumRegular"/>
          <w:color w:val="525252"/>
          <w:sz w:val="21"/>
          <w:szCs w:val="21"/>
          <w:shd w:val="clear" w:color="auto" w:fill="FFFFFF"/>
        </w:rPr>
        <w:t>(</w:t>
      </w:r>
      <w:r w:rsidRPr="003C2959">
        <w:rPr>
          <w:rFonts w:ascii="Arial" w:hAnsi="Arial" w:cs="Arial"/>
        </w:rPr>
        <w:t>Art. 15</w:t>
      </w:r>
      <w:r w:rsidRPr="00A06DF8">
        <w:rPr>
          <w:rFonts w:ascii="Arial" w:hAnsi="Arial" w:cs="Arial"/>
        </w:rPr>
        <w:t> ustawy z dnia 31 marca 2020 r. o zmianie ustawy o szczególnych rozwiązaniach związanych z zapobieganiem, przeciwdziałaniem i zwalczaniem COVID-19, innych chorób zakaźnych oraz wywołanych nimi sytuacji kryzysowych oraz niektórych innych ustaw Dz.U. 2020 poz. 568</w:t>
      </w:r>
      <w:r>
        <w:rPr>
          <w:rFonts w:ascii="Arial" w:hAnsi="Arial" w:cs="Arial"/>
        </w:rPr>
        <w:t>)</w:t>
      </w:r>
      <w:r w:rsidRPr="00E26352">
        <w:rPr>
          <w:rFonts w:ascii="Arial" w:hAnsi="Arial" w:cs="Arial"/>
        </w:rPr>
        <w:t>;</w:t>
      </w:r>
    </w:p>
    <w:p w14:paraId="25DB4B1B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zmiana </w:t>
      </w:r>
      <w:r w:rsidRPr="00E26352">
        <w:rPr>
          <w:rFonts w:ascii="Arial" w:hAnsi="Arial" w:cs="Arial"/>
        </w:rPr>
        <w:t>Rozporządzeni</w:t>
      </w:r>
      <w:r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26maja 2015 r. w sprawie określenia szczegółowych warunków technicznych i wymagań funkcjonalnych, jakie powinny spełniać środki techniczne służące do wykonywania dozoru elektronicznego, oraz sposobu funkcjonowania systemu komunikacyjno-monitorującego (Dz. U., poz. 797) – </w:t>
      </w:r>
      <w:r>
        <w:rPr>
          <w:rFonts w:ascii="Arial" w:hAnsi="Arial" w:cs="Arial"/>
        </w:rPr>
        <w:t>proces zakończony</w:t>
      </w:r>
      <w:r w:rsidRPr="00E26352">
        <w:rPr>
          <w:rFonts w:ascii="Arial" w:hAnsi="Arial" w:cs="Arial"/>
        </w:rPr>
        <w:t>;</w:t>
      </w:r>
    </w:p>
    <w:p w14:paraId="68DD027A" w14:textId="77777777" w:rsidR="00CF03D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E2635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zmiana </w:t>
      </w:r>
      <w:r w:rsidRPr="00E26352">
        <w:rPr>
          <w:rFonts w:ascii="Arial" w:hAnsi="Arial" w:cs="Arial"/>
        </w:rPr>
        <w:t>Rozporządzeni</w:t>
      </w:r>
      <w:r>
        <w:rPr>
          <w:rFonts w:ascii="Arial" w:hAnsi="Arial" w:cs="Arial"/>
        </w:rPr>
        <w:t>a</w:t>
      </w:r>
      <w:r w:rsidRPr="00E26352">
        <w:rPr>
          <w:rFonts w:ascii="Arial" w:hAnsi="Arial" w:cs="Arial"/>
        </w:rPr>
        <w:t xml:space="preserve"> Ministra Sprawiedliwości z dnia 28</w:t>
      </w:r>
      <w:r>
        <w:rPr>
          <w:rFonts w:ascii="Arial" w:hAnsi="Arial" w:cs="Arial"/>
        </w:rPr>
        <w:t xml:space="preserve"> </w:t>
      </w:r>
      <w:r w:rsidRPr="00E26352">
        <w:rPr>
          <w:rFonts w:ascii="Arial" w:hAnsi="Arial" w:cs="Arial"/>
        </w:rPr>
        <w:t>maja 2015 r. w sprawie sposobu archiwizowania oraz sposobu i trybu usuwania danych osobowych i informacj</w:t>
      </w:r>
      <w:r>
        <w:rPr>
          <w:rFonts w:ascii="Arial" w:hAnsi="Arial" w:cs="Arial"/>
        </w:rPr>
        <w:t>i</w:t>
      </w:r>
      <w:r w:rsidRPr="00E26352">
        <w:rPr>
          <w:rFonts w:ascii="Arial" w:hAnsi="Arial" w:cs="Arial"/>
        </w:rPr>
        <w:t xml:space="preserve"> zarejestrowanych w związku z wykonywaniem dozoru elektronicznego (Dz. U., poz. 800) – </w:t>
      </w:r>
      <w:r>
        <w:rPr>
          <w:rFonts w:ascii="Arial" w:hAnsi="Arial" w:cs="Arial"/>
        </w:rPr>
        <w:t>proces zakończony</w:t>
      </w:r>
      <w:r w:rsidRPr="00E26352">
        <w:rPr>
          <w:rFonts w:ascii="Arial" w:hAnsi="Arial" w:cs="Arial"/>
        </w:rPr>
        <w:t>;</w:t>
      </w:r>
    </w:p>
    <w:p w14:paraId="01B500F4" w14:textId="77777777" w:rsidR="00CF03D9" w:rsidRPr="002F771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t>- zmiana Rozporządzenia Ministra Sprawiedliwości z dnia 3 czerwca 2015 r. w sprawie wysokości opłaty wyrównawczej dla nadajnika i rejestratora stacjonarnego lub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przenośnego służących do wykonywania dozoru elektronicznego (Dz. U.,</w:t>
      </w:r>
      <w:proofErr w:type="spellStart"/>
      <w:r w:rsidRPr="002F7719">
        <w:rPr>
          <w:rFonts w:ascii="Arial" w:hAnsi="Arial" w:cs="Arial"/>
        </w:rPr>
        <w:t>poz</w:t>
      </w:r>
      <w:proofErr w:type="spellEnd"/>
      <w:r w:rsidRPr="002F7719">
        <w:rPr>
          <w:rFonts w:ascii="Arial" w:hAnsi="Arial" w:cs="Arial"/>
        </w:rPr>
        <w:t>. 813) – proces zakończony,</w:t>
      </w:r>
    </w:p>
    <w:p w14:paraId="17F24312" w14:textId="77777777" w:rsidR="00CF03D9" w:rsidRPr="002F7719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2F7719">
        <w:rPr>
          <w:rFonts w:ascii="Arial" w:hAnsi="Arial" w:cs="Arial"/>
        </w:rPr>
        <w:lastRenderedPageBreak/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wzoru pisemnego pouczenia o przysługujących skazanemu prawach i ciążących na nim obowiązkach związanych z dozorem elektronicznym, jak również o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konsekwencjach naruszenia tych obowiązków (Dz. U., poz. 1692) – proces zakończony,</w:t>
      </w:r>
    </w:p>
    <w:p w14:paraId="4403C662" w14:textId="77777777" w:rsidR="00CF03D9" w:rsidRPr="00E26352" w:rsidRDefault="00CF03D9" w:rsidP="00CF03D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2F7719">
        <w:rPr>
          <w:rFonts w:ascii="Arial" w:hAnsi="Arial" w:cs="Arial"/>
        </w:rPr>
        <w:t>- zmiana Rozporządzenia Ministra Sprawiedliwości z dnia 10 października 2016 r. w</w:t>
      </w:r>
      <w:r>
        <w:rPr>
          <w:rFonts w:ascii="Arial" w:hAnsi="Arial" w:cs="Arial"/>
        </w:rPr>
        <w:t xml:space="preserve"> </w:t>
      </w:r>
      <w:r w:rsidRPr="002F7719">
        <w:rPr>
          <w:rFonts w:ascii="Arial" w:hAnsi="Arial" w:cs="Arial"/>
        </w:rPr>
        <w:t>sprawie sposobu oraz szczegółowych warunków wykonywania kar, środków karnych i środków zabezpieczających w systemie dozoru elektronicznego (Dz. U.,</w:t>
      </w:r>
      <w:proofErr w:type="spellStart"/>
      <w:r w:rsidRPr="002F7719">
        <w:rPr>
          <w:rFonts w:ascii="Arial" w:hAnsi="Arial" w:cs="Arial"/>
        </w:rPr>
        <w:t>poz</w:t>
      </w:r>
      <w:proofErr w:type="spellEnd"/>
      <w:r w:rsidRPr="002F7719">
        <w:rPr>
          <w:rFonts w:ascii="Arial" w:hAnsi="Arial" w:cs="Arial"/>
        </w:rPr>
        <w:t>. 1698) – proces zakończony</w:t>
      </w:r>
      <w:r>
        <w:rPr>
          <w:rFonts w:ascii="Roboto-Regular" w:hAnsi="Roboto-Regular" w:cs="Roboto-Regular"/>
          <w:sz w:val="24"/>
          <w:szCs w:val="24"/>
        </w:rPr>
        <w:t>.</w:t>
      </w:r>
    </w:p>
    <w:p w14:paraId="5FDE7AF6" w14:textId="77777777" w:rsidR="003C7325" w:rsidRPr="00141A92" w:rsidRDefault="00E35401" w:rsidP="0039123A">
      <w:pPr>
        <w:pStyle w:val="Nagwek2"/>
        <w:numPr>
          <w:ilvl w:val="0"/>
          <w:numId w:val="19"/>
        </w:numPr>
        <w:spacing w:before="12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5D29D35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2015A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AEB327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BFB92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B66689" w:rsidRPr="002B50C0" w14:paraId="4E9E2E68" w14:textId="77777777" w:rsidTr="00795AFA">
        <w:tc>
          <w:tcPr>
            <w:tcW w:w="2972" w:type="dxa"/>
          </w:tcPr>
          <w:p w14:paraId="289EAD18" w14:textId="77777777" w:rsidR="00B66689" w:rsidRDefault="00B66689" w:rsidP="00B6668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49 %</w:t>
            </w:r>
          </w:p>
          <w:p w14:paraId="6A63336E" w14:textId="77777777" w:rsidR="00B66689" w:rsidRPr="00141A92" w:rsidRDefault="00B66689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B8E843" w14:textId="77777777" w:rsidR="00B66689" w:rsidRDefault="00C42321" w:rsidP="00C4232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B66689" w:rsidRPr="005B6AE2">
              <w:rPr>
                <w:rFonts w:ascii="Arial" w:hAnsi="Arial" w:cs="Arial"/>
              </w:rPr>
              <w:t>%</w:t>
            </w:r>
          </w:p>
          <w:p w14:paraId="22B3425C" w14:textId="77777777" w:rsidR="00B66689" w:rsidRPr="009810B2" w:rsidRDefault="00B66689" w:rsidP="004B75C9">
            <w:pPr>
              <w:spacing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810B2">
              <w:rPr>
                <w:rFonts w:ascii="Arial" w:hAnsi="Arial" w:cs="Arial"/>
                <w:sz w:val="20"/>
                <w:szCs w:val="20"/>
              </w:rPr>
              <w:t>Projekt nie jest dofinansowany z funduszy UE</w:t>
            </w:r>
          </w:p>
        </w:tc>
        <w:tc>
          <w:tcPr>
            <w:tcW w:w="3402" w:type="dxa"/>
          </w:tcPr>
          <w:p w14:paraId="52058C2D" w14:textId="77777777" w:rsidR="00B66689" w:rsidRPr="005B6AE2" w:rsidRDefault="00B66689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  <w:p w14:paraId="39DF8280" w14:textId="77777777" w:rsidR="00B66689" w:rsidRPr="00141A92" w:rsidRDefault="00B66689" w:rsidP="004B75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6737AE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3CFD74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5782295D" w14:textId="77777777" w:rsidR="0039123A" w:rsidRPr="0039123A" w:rsidRDefault="0039123A" w:rsidP="0039123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39123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94" w:type="dxa"/>
        <w:tblInd w:w="-5" w:type="dxa"/>
        <w:tblLook w:val="04A0" w:firstRow="1" w:lastRow="0" w:firstColumn="1" w:lastColumn="0" w:noHBand="0" w:noVBand="1"/>
      </w:tblPr>
      <w:tblGrid>
        <w:gridCol w:w="2948"/>
        <w:gridCol w:w="1418"/>
        <w:gridCol w:w="1701"/>
        <w:gridCol w:w="1701"/>
        <w:gridCol w:w="2126"/>
      </w:tblGrid>
      <w:tr w:rsidR="0039123A" w:rsidRPr="002B50C0" w14:paraId="4062EAB3" w14:textId="77777777" w:rsidTr="004B75C9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3779B093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77BE6F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6D189A8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9AC9FF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30441EEB" w14:textId="77777777" w:rsidR="0039123A" w:rsidRPr="00141A92" w:rsidRDefault="0039123A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39123A" w:rsidRPr="00462C5F" w14:paraId="0ADDB2BA" w14:textId="77777777" w:rsidTr="004B75C9">
        <w:tc>
          <w:tcPr>
            <w:tcW w:w="2948" w:type="dxa"/>
          </w:tcPr>
          <w:p w14:paraId="2DD299E3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Podpisanie Umowy z Wykonawcą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7089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BF7EDCC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04-2018</w:t>
            </w:r>
          </w:p>
        </w:tc>
        <w:tc>
          <w:tcPr>
            <w:tcW w:w="1701" w:type="dxa"/>
          </w:tcPr>
          <w:p w14:paraId="416A5D29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eastAsia="Calibri" w:hAnsi="Arial" w:cs="Arial"/>
              </w:rPr>
              <w:t>04-</w:t>
            </w:r>
            <w:r>
              <w:rPr>
                <w:rFonts w:ascii="Arial" w:hAnsi="Arial" w:cs="Arial"/>
              </w:rPr>
              <w:t>2018</w:t>
            </w:r>
          </w:p>
        </w:tc>
        <w:tc>
          <w:tcPr>
            <w:tcW w:w="2126" w:type="dxa"/>
          </w:tcPr>
          <w:p w14:paraId="2884D49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0EFFC29B" w14:textId="77777777" w:rsidTr="004B75C9">
        <w:tc>
          <w:tcPr>
            <w:tcW w:w="2948" w:type="dxa"/>
          </w:tcPr>
          <w:p w14:paraId="761E50AD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Uruchomienie zarządzania zespołami terenowymi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E527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AA8B6A7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0573E1F7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49B0642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31AB8336" w14:textId="77777777" w:rsidTr="004B75C9">
        <w:tc>
          <w:tcPr>
            <w:tcW w:w="2948" w:type="dxa"/>
          </w:tcPr>
          <w:p w14:paraId="04D966E4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Dostawa, instalacja, konfiguracja i uruchomienie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CDD3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56D0780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16988818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74A9D05D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3549E468" w14:textId="77777777" w:rsidTr="004B75C9">
        <w:tc>
          <w:tcPr>
            <w:tcW w:w="2948" w:type="dxa"/>
          </w:tcPr>
          <w:p w14:paraId="1BD5792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Dostawa oprogramowania, licencji i wymaganych certyfikatów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5C8E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E69B00C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07936486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3C8429F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462C5F" w14:paraId="04BB1E8B" w14:textId="77777777" w:rsidTr="004B75C9">
        <w:tc>
          <w:tcPr>
            <w:tcW w:w="2948" w:type="dxa"/>
          </w:tcPr>
          <w:p w14:paraId="6ECC4C29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Modernizacja i wdrożenie Aplikacji SDE24 z uwzględnieniem stworzenia Modułu Patrol, Patrol Mobile oraz Modułu Ewidencji Zgłoszeń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ADB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4C1E2F4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3D077CD2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634C6492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21042C81" w14:textId="77777777" w:rsidTr="004B75C9">
        <w:tc>
          <w:tcPr>
            <w:tcW w:w="2948" w:type="dxa"/>
          </w:tcPr>
          <w:p w14:paraId="198F6462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Przeprowadzenie testów i szkoleń operatorów oraz administratorów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ACBA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1234C86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1701" w:type="dxa"/>
          </w:tcPr>
          <w:p w14:paraId="0DF7CF83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08-2018</w:t>
            </w:r>
          </w:p>
        </w:tc>
        <w:tc>
          <w:tcPr>
            <w:tcW w:w="2126" w:type="dxa"/>
          </w:tcPr>
          <w:p w14:paraId="76E096C0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2EA5808B" w14:textId="77777777" w:rsidTr="004B75C9">
        <w:tc>
          <w:tcPr>
            <w:tcW w:w="2948" w:type="dxa"/>
          </w:tcPr>
          <w:p w14:paraId="382C01F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Przejęcie populacji osób objętych systemem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3536B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16B3F3AF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1701" w:type="dxa"/>
          </w:tcPr>
          <w:p w14:paraId="109842D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2126" w:type="dxa"/>
          </w:tcPr>
          <w:p w14:paraId="3C47EEEB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34B04EC6" w14:textId="77777777" w:rsidTr="004B75C9">
        <w:tc>
          <w:tcPr>
            <w:tcW w:w="2948" w:type="dxa"/>
          </w:tcPr>
          <w:p w14:paraId="1E411FCD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Wyposażenie zespołów w urządzenia monitorujące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DC40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65052D9B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1701" w:type="dxa"/>
          </w:tcPr>
          <w:p w14:paraId="12B38BF2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09-2018</w:t>
            </w:r>
          </w:p>
        </w:tc>
        <w:tc>
          <w:tcPr>
            <w:tcW w:w="2126" w:type="dxa"/>
          </w:tcPr>
          <w:p w14:paraId="0D0C8754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486024EC" w14:textId="77777777" w:rsidTr="004B75C9">
        <w:tc>
          <w:tcPr>
            <w:tcW w:w="2948" w:type="dxa"/>
          </w:tcPr>
          <w:p w14:paraId="6ACAD0AD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lastRenderedPageBreak/>
              <w:t>Modernizacja i wdrożenie aplikacji SDE24w nowym środowisku produkcyjnym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7962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3A153E3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1701" w:type="dxa"/>
          </w:tcPr>
          <w:p w14:paraId="5F1BD02E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2126" w:type="dxa"/>
          </w:tcPr>
          <w:p w14:paraId="490E65B1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503C1D8A" w14:textId="77777777" w:rsidTr="004B75C9">
        <w:tc>
          <w:tcPr>
            <w:tcW w:w="2948" w:type="dxa"/>
          </w:tcPr>
          <w:p w14:paraId="2B75419C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Opracowanie i przekazanie dokumentacji SDE, w tym elementów polityki bezpieczeństwa dot. SDE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2C946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04D066D6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1701" w:type="dxa"/>
          </w:tcPr>
          <w:p w14:paraId="4A05E281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03-2019</w:t>
            </w:r>
          </w:p>
        </w:tc>
        <w:tc>
          <w:tcPr>
            <w:tcW w:w="2126" w:type="dxa"/>
          </w:tcPr>
          <w:p w14:paraId="5ECF42A2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Osiągnięty</w:t>
            </w:r>
          </w:p>
        </w:tc>
      </w:tr>
      <w:tr w:rsidR="0039123A" w:rsidRPr="002B50C0" w14:paraId="62F7CD2E" w14:textId="77777777" w:rsidTr="004B75C9">
        <w:tc>
          <w:tcPr>
            <w:tcW w:w="2948" w:type="dxa"/>
          </w:tcPr>
          <w:p w14:paraId="2D46050F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Utrzymanie systemu –zapewniony ciągły serwis aplikacji oraz infrastruktury techniczno-systemowej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CE6B0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Nie dotyczy</w:t>
            </w:r>
          </w:p>
        </w:tc>
        <w:tc>
          <w:tcPr>
            <w:tcW w:w="1701" w:type="dxa"/>
          </w:tcPr>
          <w:p w14:paraId="256AF0C4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</w:t>
            </w:r>
            <w:r w:rsidRPr="00462C5F">
              <w:rPr>
                <w:rFonts w:ascii="Arial" w:hAnsi="Arial" w:cs="Arial"/>
              </w:rPr>
              <w:t>2022</w:t>
            </w:r>
          </w:p>
        </w:tc>
        <w:tc>
          <w:tcPr>
            <w:tcW w:w="1701" w:type="dxa"/>
          </w:tcPr>
          <w:p w14:paraId="12A34860" w14:textId="77777777" w:rsidR="0039123A" w:rsidRPr="00462C5F" w:rsidRDefault="0039123A" w:rsidP="004B75C9">
            <w:pPr>
              <w:spacing w:before="12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14:paraId="1D1C550E" w14:textId="77777777" w:rsidR="0039123A" w:rsidRPr="00462C5F" w:rsidRDefault="0039123A" w:rsidP="004B75C9">
            <w:pPr>
              <w:spacing w:before="120"/>
              <w:rPr>
                <w:rFonts w:ascii="Arial" w:hAnsi="Arial" w:cs="Arial"/>
                <w:color w:val="0070C0"/>
              </w:rPr>
            </w:pPr>
            <w:r w:rsidRPr="00462C5F">
              <w:rPr>
                <w:rFonts w:ascii="Arial" w:hAnsi="Arial" w:cs="Arial"/>
              </w:rPr>
              <w:t>W trakcie realizacji</w:t>
            </w:r>
          </w:p>
        </w:tc>
      </w:tr>
    </w:tbl>
    <w:p w14:paraId="57874868" w14:textId="77777777" w:rsidR="0039123A" w:rsidRDefault="0039123A" w:rsidP="009A0528">
      <w:pPr>
        <w:spacing w:before="240" w:after="120" w:line="360" w:lineRule="auto"/>
        <w:rPr>
          <w:rFonts w:ascii="Arial" w:hAnsi="Arial" w:cs="Arial"/>
          <w:b/>
          <w:sz w:val="20"/>
          <w:szCs w:val="20"/>
        </w:rPr>
      </w:pPr>
    </w:p>
    <w:p w14:paraId="7BF1B0CB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588"/>
        <w:gridCol w:w="1701"/>
        <w:gridCol w:w="2268"/>
      </w:tblGrid>
      <w:tr w:rsidR="00586BEC" w:rsidRPr="002B50C0" w14:paraId="663BA8E0" w14:textId="77777777" w:rsidTr="004B75C9">
        <w:trPr>
          <w:tblHeader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1854FC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0F720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956D94" w14:textId="77777777" w:rsidR="00586BEC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F99A759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B5E058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6C4FBB" w14:textId="77777777" w:rsidR="00586BEC" w:rsidRPr="00141A92" w:rsidRDefault="00586BEC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6BEC" w:rsidRPr="002B50C0" w14:paraId="6CB26AF6" w14:textId="77777777" w:rsidTr="004B75C9">
        <w:tc>
          <w:tcPr>
            <w:tcW w:w="2802" w:type="dxa"/>
            <w:tcBorders>
              <w:bottom w:val="single" w:sz="4" w:space="0" w:color="auto"/>
            </w:tcBorders>
          </w:tcPr>
          <w:p w14:paraId="19CA8174" w14:textId="77777777" w:rsidR="00586BEC" w:rsidRPr="007526ED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 xml:space="preserve">Liczba wydanych </w:t>
            </w:r>
            <w:proofErr w:type="spellStart"/>
            <w:r w:rsidRPr="00462C5F">
              <w:rPr>
                <w:rFonts w:ascii="Arial" w:hAnsi="Arial" w:cs="Arial"/>
              </w:rPr>
              <w:t>nwych</w:t>
            </w:r>
            <w:proofErr w:type="spellEnd"/>
            <w:r w:rsidRPr="00462C5F">
              <w:rPr>
                <w:rFonts w:ascii="Arial" w:hAnsi="Arial" w:cs="Arial"/>
              </w:rPr>
              <w:t>/znowelizowanych aktów wykonawczych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8D4FE16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456BA">
              <w:rPr>
                <w:rFonts w:ascii="Arial" w:hAnsi="Arial" w:cs="Arial"/>
              </w:rPr>
              <w:t>zt.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6E243548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E1CFA32" w14:textId="77777777" w:rsidR="00586BEC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</w:rPr>
              <w:t>10</w:t>
            </w:r>
            <w:r w:rsidRPr="000A089A">
              <w:rPr>
                <w:rFonts w:ascii="Arial" w:hAnsi="Arial" w:cs="Arial"/>
                <w:lang w:eastAsia="pl-PL"/>
              </w:rPr>
              <w:t>-20</w:t>
            </w:r>
            <w:r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B757DC" w14:textId="77777777" w:rsidR="00586BEC" w:rsidRPr="005B6AE2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586BEC" w:rsidRPr="002B50C0" w14:paraId="77F7960F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13BE499E" w14:textId="77777777" w:rsidR="00586BEC" w:rsidRPr="00462C5F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462C5F">
              <w:rPr>
                <w:rFonts w:ascii="Arial" w:hAnsi="Arial" w:cs="Arial"/>
              </w:rPr>
              <w:t>Umożliwienie wydawania poleceń sprawcy przestępstw za pomocą</w:t>
            </w:r>
          </w:p>
          <w:p w14:paraId="061AFBC2" w14:textId="77777777" w:rsidR="00586BEC" w:rsidRPr="00462C5F" w:rsidRDefault="00586BEC" w:rsidP="004B75C9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22"/>
                <w:szCs w:val="22"/>
                <w:lang w:val="pl-PL" w:eastAsia="pl-PL"/>
              </w:rPr>
            </w:pPr>
            <w:r w:rsidRPr="00462C5F">
              <w:rPr>
                <w:rFonts w:cs="Arial"/>
                <w:sz w:val="22"/>
                <w:szCs w:val="22"/>
                <w:lang w:val="pl-PL"/>
              </w:rPr>
              <w:t xml:space="preserve">systemu dozoru elektronicznego i zwiększenie kontroli </w:t>
            </w:r>
            <w:proofErr w:type="spellStart"/>
            <w:r w:rsidRPr="00462C5F">
              <w:rPr>
                <w:rFonts w:cs="Arial"/>
                <w:sz w:val="22"/>
                <w:szCs w:val="22"/>
                <w:lang w:val="pl-PL"/>
              </w:rPr>
              <w:t>zachowań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438EE48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271A31D3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2F6342F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A3CC252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586BEC" w:rsidRPr="002B50C0" w14:paraId="3E7694F1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7044A838" w14:textId="77777777" w:rsidR="00586BEC" w:rsidRPr="00D456BA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D456BA">
              <w:rPr>
                <w:rFonts w:ascii="Arial" w:hAnsi="Arial" w:cs="Arial"/>
              </w:rPr>
              <w:t>Ilość zdarzeń raportowanych/ naruszeń (skuteczność działań po otrzymaniu uprawnień funkcjonariuszy wykonujących zadania terenowe)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4F66668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4BC35336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F5C17A2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B03739A" w14:textId="77777777" w:rsidR="00586BEC" w:rsidRPr="00D456BA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586BEC" w:rsidRPr="002B50C0" w14:paraId="7B47FE3A" w14:textId="77777777" w:rsidTr="004B75C9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14:paraId="663CABA7" w14:textId="77777777" w:rsidR="00586BEC" w:rsidRPr="007526ED" w:rsidRDefault="00586BEC" w:rsidP="004B75C9">
            <w:p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7526ED">
              <w:rPr>
                <w:rFonts w:ascii="Arial" w:hAnsi="Arial" w:cs="Arial"/>
              </w:rPr>
              <w:t>Odsetek uchyleń postanowień o odbywaniu kary w SDE do ogólnej liczby</w:t>
            </w:r>
            <w:r>
              <w:rPr>
                <w:rFonts w:ascii="Arial" w:hAnsi="Arial" w:cs="Arial"/>
              </w:rPr>
              <w:t xml:space="preserve"> </w:t>
            </w:r>
            <w:r w:rsidRPr="007526ED">
              <w:rPr>
                <w:rFonts w:ascii="Arial" w:hAnsi="Arial" w:cs="Arial"/>
              </w:rPr>
              <w:t>wykonywanych kar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0921829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</w:tcPr>
          <w:p w14:paraId="3FB5A55A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9539F9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 w:rsidRPr="000A089A">
              <w:rPr>
                <w:rFonts w:ascii="Arial" w:hAnsi="Arial" w:cs="Arial"/>
              </w:rPr>
              <w:t>03</w:t>
            </w:r>
            <w:r w:rsidRPr="000A089A">
              <w:rPr>
                <w:rFonts w:ascii="Arial" w:hAnsi="Arial" w:cs="Arial"/>
                <w:lang w:eastAsia="pl-PL"/>
              </w:rPr>
              <w:t>-2019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5DDDBDA" w14:textId="77777777" w:rsidR="00586BEC" w:rsidRPr="007526ED" w:rsidRDefault="00586BEC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</w:tbl>
    <w:p w14:paraId="13F0F49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7D38BD" w:rsidRPr="002B50C0" w14:paraId="78DBB78B" w14:textId="77777777" w:rsidTr="00586BE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DE38ED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DEB5C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94DE29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0BF95FC5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6BEC" w:rsidRPr="002B50C0" w14:paraId="47FC1135" w14:textId="77777777" w:rsidTr="00586BEC">
        <w:tc>
          <w:tcPr>
            <w:tcW w:w="2797" w:type="dxa"/>
          </w:tcPr>
          <w:p w14:paraId="201D4B6E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261" w:type="dxa"/>
          </w:tcPr>
          <w:p w14:paraId="1EE37F39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18947365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14:paraId="121B9A53" w14:textId="77777777" w:rsidR="00586BEC" w:rsidRPr="00141A92" w:rsidRDefault="00586BE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C2CFACB" w14:textId="77777777" w:rsidR="00933BEC" w:rsidRPr="002B50C0" w:rsidRDefault="00933BEC" w:rsidP="00586BEC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2B50C0" w14:paraId="2FE0ABDB" w14:textId="77777777" w:rsidTr="00586BEC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549DFDBC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C1BF3C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7641B5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067ACB9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6BEC" w:rsidRPr="002B50C0" w14:paraId="240C58E7" w14:textId="77777777" w:rsidTr="00586BEC">
        <w:tc>
          <w:tcPr>
            <w:tcW w:w="2969" w:type="dxa"/>
          </w:tcPr>
          <w:p w14:paraId="592DC826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53E8B">
              <w:rPr>
                <w:rFonts w:ascii="Arial" w:hAnsi="Arial" w:cs="Arial"/>
              </w:rPr>
              <w:t xml:space="preserve">Nie </w:t>
            </w:r>
            <w:r>
              <w:rPr>
                <w:rFonts w:ascii="Arial" w:hAnsi="Arial" w:cs="Arial"/>
              </w:rPr>
              <w:t>d</w:t>
            </w:r>
            <w:r w:rsidRPr="00D53E8B">
              <w:rPr>
                <w:rFonts w:ascii="Arial" w:hAnsi="Arial" w:cs="Arial"/>
              </w:rPr>
              <w:t>otyczy</w:t>
            </w:r>
          </w:p>
        </w:tc>
        <w:tc>
          <w:tcPr>
            <w:tcW w:w="1261" w:type="dxa"/>
          </w:tcPr>
          <w:p w14:paraId="4C64409B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14:paraId="3D0F5C3E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009" w:type="dxa"/>
          </w:tcPr>
          <w:p w14:paraId="11527983" w14:textId="77777777" w:rsidR="00586BEC" w:rsidRPr="00141A92" w:rsidRDefault="00586BEC" w:rsidP="004B75C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08BB663F" w14:textId="77777777" w:rsidR="00586BEC" w:rsidRPr="00586BEC" w:rsidRDefault="00586BEC" w:rsidP="00586BEC">
      <w:pPr>
        <w:pStyle w:val="Nagwek3"/>
        <w:spacing w:before="120" w:after="120"/>
        <w:ind w:left="425"/>
        <w:rPr>
          <w:rStyle w:val="Nagwek2Znak"/>
          <w:rFonts w:ascii="Arial" w:hAnsi="Arial" w:cs="Arial"/>
          <w:color w:val="1F4D78" w:themeColor="accent1" w:themeShade="7F"/>
          <w:sz w:val="22"/>
          <w:szCs w:val="22"/>
        </w:rPr>
      </w:pPr>
    </w:p>
    <w:p w14:paraId="184E2793" w14:textId="77777777" w:rsidR="004C1D48" w:rsidRDefault="004C1D48" w:rsidP="00586BEC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054" w:type="dxa"/>
        <w:tblLook w:val="04A0" w:firstRow="1" w:lastRow="0" w:firstColumn="1" w:lastColumn="0" w:noHBand="0" w:noVBand="1"/>
      </w:tblPr>
      <w:tblGrid>
        <w:gridCol w:w="3569"/>
        <w:gridCol w:w="1729"/>
        <w:gridCol w:w="1874"/>
        <w:gridCol w:w="2882"/>
      </w:tblGrid>
      <w:tr w:rsidR="000D714F" w:rsidRPr="002B50C0" w14:paraId="696D5593" w14:textId="77777777" w:rsidTr="004B75C9">
        <w:trPr>
          <w:trHeight w:val="948"/>
          <w:tblHeader/>
        </w:trPr>
        <w:tc>
          <w:tcPr>
            <w:tcW w:w="3569" w:type="dxa"/>
            <w:shd w:val="clear" w:color="auto" w:fill="D0CECE" w:themeFill="background2" w:themeFillShade="E6"/>
            <w:vAlign w:val="center"/>
          </w:tcPr>
          <w:p w14:paraId="0950FE15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29" w:type="dxa"/>
            <w:shd w:val="clear" w:color="auto" w:fill="D0CECE" w:themeFill="background2" w:themeFillShade="E6"/>
            <w:vAlign w:val="center"/>
          </w:tcPr>
          <w:p w14:paraId="033030A4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74" w:type="dxa"/>
            <w:shd w:val="clear" w:color="auto" w:fill="D0CECE" w:themeFill="background2" w:themeFillShade="E6"/>
            <w:vAlign w:val="center"/>
          </w:tcPr>
          <w:p w14:paraId="6AC6C237" w14:textId="77777777" w:rsidR="000D714F" w:rsidRPr="00141A92" w:rsidRDefault="000D714F" w:rsidP="004B75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82" w:type="dxa"/>
            <w:shd w:val="clear" w:color="auto" w:fill="D0CECE" w:themeFill="background2" w:themeFillShade="E6"/>
            <w:vAlign w:val="center"/>
          </w:tcPr>
          <w:p w14:paraId="6615B27D" w14:textId="77777777" w:rsidR="000D714F" w:rsidRPr="00141A92" w:rsidRDefault="000D714F" w:rsidP="004B75C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0D714F" w:rsidRPr="002B50C0" w14:paraId="367C6560" w14:textId="77777777" w:rsidTr="004B75C9">
        <w:trPr>
          <w:trHeight w:val="627"/>
        </w:trPr>
        <w:tc>
          <w:tcPr>
            <w:tcW w:w="3569" w:type="dxa"/>
            <w:vAlign w:val="center"/>
          </w:tcPr>
          <w:p w14:paraId="2278E563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Zorganizowane Zespoły Terenowe i utworzony Ośrodek Główny</w:t>
            </w:r>
          </w:p>
        </w:tc>
        <w:tc>
          <w:tcPr>
            <w:tcW w:w="1729" w:type="dxa"/>
            <w:vAlign w:val="center"/>
          </w:tcPr>
          <w:p w14:paraId="1304B98B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374ED446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663265E8" w14:textId="77777777" w:rsidR="000D714F" w:rsidRPr="00C439A0" w:rsidRDefault="000D714F" w:rsidP="004B75C9">
            <w:pPr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3D4477CA" w14:textId="77777777" w:rsidTr="004B75C9">
        <w:trPr>
          <w:trHeight w:val="887"/>
        </w:trPr>
        <w:tc>
          <w:tcPr>
            <w:tcW w:w="3569" w:type="dxa"/>
            <w:vAlign w:val="center"/>
          </w:tcPr>
          <w:p w14:paraId="5D49E386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Infrastruktura techniczno-</w:t>
            </w:r>
            <w:proofErr w:type="spellStart"/>
            <w:r>
              <w:rPr>
                <w:rFonts w:ascii="Arial" w:hAnsi="Arial" w:cs="Arial"/>
                <w:color w:val="000000"/>
              </w:rPr>
              <w:t>syste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-mowa zgodna ze specyfikacją  w opisie przedmiotu zamówienia </w:t>
            </w:r>
          </w:p>
        </w:tc>
        <w:tc>
          <w:tcPr>
            <w:tcW w:w="1729" w:type="dxa"/>
            <w:vAlign w:val="center"/>
          </w:tcPr>
          <w:p w14:paraId="76AA68BD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02810B6E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2BA03CAD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40AB74D0" w14:textId="77777777" w:rsidTr="004B75C9">
        <w:trPr>
          <w:trHeight w:val="642"/>
        </w:trPr>
        <w:tc>
          <w:tcPr>
            <w:tcW w:w="3569" w:type="dxa"/>
            <w:vAlign w:val="center"/>
          </w:tcPr>
          <w:p w14:paraId="06B4610B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Oprogramowanie systemowe, licencje i wymagane certyfikaty</w:t>
            </w:r>
          </w:p>
        </w:tc>
        <w:tc>
          <w:tcPr>
            <w:tcW w:w="1729" w:type="dxa"/>
            <w:vAlign w:val="center"/>
          </w:tcPr>
          <w:p w14:paraId="50FBA29C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609A1CAD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134B092B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0514E9ED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0CAD2044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Zmodernizowana Aplikacja SDE24 oraz wdrożone nowe moduły: Moduł Patrol, Patrol Mobile, Modułu Ewidencji Zgłoszeń</w:t>
            </w:r>
          </w:p>
        </w:tc>
        <w:tc>
          <w:tcPr>
            <w:tcW w:w="1729" w:type="dxa"/>
            <w:vAlign w:val="center"/>
          </w:tcPr>
          <w:p w14:paraId="68BB75DE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7AA5A315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3F6E49E0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6CFAC7C7" w14:textId="77777777" w:rsidTr="004B75C9">
        <w:trPr>
          <w:trHeight w:val="887"/>
        </w:trPr>
        <w:tc>
          <w:tcPr>
            <w:tcW w:w="3569" w:type="dxa"/>
            <w:vAlign w:val="center"/>
          </w:tcPr>
          <w:p w14:paraId="0E5ECA85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Wykonane testy infrastruktury techniczno-systemowej oraz aplikacji SDE24</w:t>
            </w:r>
          </w:p>
        </w:tc>
        <w:tc>
          <w:tcPr>
            <w:tcW w:w="1729" w:type="dxa"/>
            <w:vAlign w:val="center"/>
          </w:tcPr>
          <w:p w14:paraId="658C043D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478B93A4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50ABE19B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589F8BF9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6BCF20A4" w14:textId="77777777" w:rsidR="000D714F" w:rsidRDefault="000D714F" w:rsidP="004B75C9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Przeszkoleni administratorzy systemu, operatorzy Centrali Monitorowania oraz funkcjonariusze i pracownicy SW - 436 osób</w:t>
            </w:r>
          </w:p>
        </w:tc>
        <w:tc>
          <w:tcPr>
            <w:tcW w:w="1729" w:type="dxa"/>
            <w:vAlign w:val="center"/>
          </w:tcPr>
          <w:p w14:paraId="04241D75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1874" w:type="dxa"/>
            <w:vAlign w:val="center"/>
          </w:tcPr>
          <w:p w14:paraId="788AB7F0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08-2018</w:t>
            </w:r>
          </w:p>
        </w:tc>
        <w:tc>
          <w:tcPr>
            <w:tcW w:w="2882" w:type="dxa"/>
          </w:tcPr>
          <w:p w14:paraId="7CBF795B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1F220488" w14:textId="77777777" w:rsidTr="004B75C9">
        <w:trPr>
          <w:trHeight w:val="1147"/>
        </w:trPr>
        <w:tc>
          <w:tcPr>
            <w:tcW w:w="3569" w:type="dxa"/>
            <w:vAlign w:val="center"/>
          </w:tcPr>
          <w:p w14:paraId="7BC9A94B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Przejęcie do systemu wszystkich osób objętych dotychczasowym systemem wraz z migracją bazy danych systemu</w:t>
            </w:r>
          </w:p>
        </w:tc>
        <w:tc>
          <w:tcPr>
            <w:tcW w:w="1729" w:type="dxa"/>
            <w:vAlign w:val="center"/>
          </w:tcPr>
          <w:p w14:paraId="02709A49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14:paraId="34DB95B2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14:paraId="670AA9D3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4CB0688F" w14:textId="77777777" w:rsidTr="004B75C9">
        <w:trPr>
          <w:trHeight w:val="1407"/>
        </w:trPr>
        <w:tc>
          <w:tcPr>
            <w:tcW w:w="3569" w:type="dxa"/>
            <w:vAlign w:val="center"/>
          </w:tcPr>
          <w:p w14:paraId="77149910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Leasing </w:t>
            </w:r>
            <w:proofErr w:type="spellStart"/>
            <w:r>
              <w:rPr>
                <w:rFonts w:ascii="Arial" w:hAnsi="Arial" w:cs="Arial"/>
              </w:rPr>
              <w:t>Urzadzeń</w:t>
            </w:r>
            <w:proofErr w:type="spellEnd"/>
            <w:r>
              <w:rPr>
                <w:rFonts w:ascii="Arial" w:hAnsi="Arial" w:cs="Arial"/>
              </w:rPr>
              <w:t xml:space="preserve"> Monitorujących w liczbie zapewniającej wymaganą pojemność systemu (RS: 7000, NM: 7000, RP: 650, NM-GPS: 650</w:t>
            </w:r>
          </w:p>
        </w:tc>
        <w:tc>
          <w:tcPr>
            <w:tcW w:w="1729" w:type="dxa"/>
            <w:vAlign w:val="center"/>
          </w:tcPr>
          <w:p w14:paraId="6C40FBD6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1874" w:type="dxa"/>
            <w:vAlign w:val="center"/>
          </w:tcPr>
          <w:p w14:paraId="140A38DB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09-2018</w:t>
            </w:r>
          </w:p>
        </w:tc>
        <w:tc>
          <w:tcPr>
            <w:tcW w:w="2882" w:type="dxa"/>
          </w:tcPr>
          <w:p w14:paraId="6733E3A0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3449FBB8" w14:textId="77777777" w:rsidTr="004B75C9">
        <w:trPr>
          <w:trHeight w:val="902"/>
        </w:trPr>
        <w:tc>
          <w:tcPr>
            <w:tcW w:w="3569" w:type="dxa"/>
            <w:vAlign w:val="center"/>
          </w:tcPr>
          <w:p w14:paraId="26A82452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Modernizacja i wdrożenie Aplikacji SDE24 w nowym środowisku produkcyjnym</w:t>
            </w:r>
          </w:p>
        </w:tc>
        <w:tc>
          <w:tcPr>
            <w:tcW w:w="1729" w:type="dxa"/>
            <w:vAlign w:val="center"/>
          </w:tcPr>
          <w:p w14:paraId="1B86269F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14:paraId="04846A85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14:paraId="66F7321A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  <w:tr w:rsidR="000D714F" w:rsidRPr="002B50C0" w14:paraId="37FCD4A6" w14:textId="77777777" w:rsidTr="004B75C9">
        <w:trPr>
          <w:trHeight w:val="382"/>
        </w:trPr>
        <w:tc>
          <w:tcPr>
            <w:tcW w:w="3569" w:type="dxa"/>
            <w:vAlign w:val="center"/>
          </w:tcPr>
          <w:p w14:paraId="154A8761" w14:textId="77777777" w:rsidR="000D714F" w:rsidRDefault="000D714F" w:rsidP="004B75C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systemu SDE</w:t>
            </w:r>
          </w:p>
        </w:tc>
        <w:tc>
          <w:tcPr>
            <w:tcW w:w="1729" w:type="dxa"/>
            <w:vAlign w:val="center"/>
          </w:tcPr>
          <w:p w14:paraId="67385D4B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1874" w:type="dxa"/>
            <w:vAlign w:val="center"/>
          </w:tcPr>
          <w:p w14:paraId="785FE3E7" w14:textId="77777777" w:rsidR="000D714F" w:rsidRDefault="000D714F" w:rsidP="004B75C9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03-2019</w:t>
            </w:r>
          </w:p>
        </w:tc>
        <w:tc>
          <w:tcPr>
            <w:tcW w:w="2882" w:type="dxa"/>
          </w:tcPr>
          <w:p w14:paraId="11B71712" w14:textId="77777777" w:rsidR="000D714F" w:rsidRDefault="000D714F" w:rsidP="004B75C9">
            <w:pPr>
              <w:spacing w:before="120"/>
            </w:pPr>
            <w:r w:rsidRPr="00FF5991">
              <w:rPr>
                <w:rFonts w:ascii="Arial" w:hAnsi="Arial" w:cs="Arial"/>
                <w:color w:val="000000"/>
                <w:sz w:val="18"/>
                <w:szCs w:val="18"/>
              </w:rPr>
              <w:t>Nie dotyczy</w:t>
            </w:r>
          </w:p>
        </w:tc>
      </w:tr>
    </w:tbl>
    <w:p w14:paraId="7976A63D" w14:textId="77777777" w:rsidR="00586BEC" w:rsidRDefault="00586BEC" w:rsidP="000D714F">
      <w:pPr>
        <w:spacing w:before="360" w:after="0"/>
        <w:ind w:left="426"/>
        <w:rPr>
          <w:rFonts w:ascii="Arial" w:hAnsi="Arial" w:cs="Arial"/>
          <w:b/>
          <w:sz w:val="26"/>
          <w:szCs w:val="26"/>
        </w:rPr>
      </w:pPr>
    </w:p>
    <w:p w14:paraId="57D46C5E" w14:textId="77777777" w:rsidR="001942DA" w:rsidRPr="00283AB9" w:rsidRDefault="001942DA" w:rsidP="00FE1AE9">
      <w:pPr>
        <w:spacing w:after="120"/>
        <w:ind w:left="1418"/>
        <w:rPr>
          <w:rFonts w:ascii="Arial" w:hAnsi="Arial" w:cs="Arial"/>
          <w:b/>
          <w:color w:val="FF0000"/>
          <w:sz w:val="24"/>
          <w:szCs w:val="24"/>
        </w:rPr>
      </w:pPr>
    </w:p>
    <w:p w14:paraId="0B4E35E2" w14:textId="77777777" w:rsidR="007C174A" w:rsidRPr="00C12C67" w:rsidRDefault="007C174A" w:rsidP="007C174A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b/>
          <w:sz w:val="26"/>
          <w:szCs w:val="26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5275C983" w14:textId="77777777" w:rsidR="007C174A" w:rsidRDefault="007C174A" w:rsidP="00283AB9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0286C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BC07917" w14:textId="77777777" w:rsidR="007C174A" w:rsidRDefault="007C174A" w:rsidP="007C174A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418"/>
        <w:gridCol w:w="4252"/>
      </w:tblGrid>
      <w:tr w:rsidR="007C174A" w:rsidRPr="002B50C0" w14:paraId="0CCB4FC6" w14:textId="77777777" w:rsidTr="004B75C9">
        <w:trPr>
          <w:tblHeader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F21A4E" w14:textId="77777777" w:rsidR="007C174A" w:rsidRPr="00141A92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E80FF4" w14:textId="77777777" w:rsidR="007C174A" w:rsidRPr="00141A92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4B8F9F4" w14:textId="77777777" w:rsidR="007C174A" w:rsidRPr="002D7ADA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59D84A" w14:textId="77777777" w:rsidR="007C174A" w:rsidRPr="002D7ADA" w:rsidRDefault="007C174A" w:rsidP="004B75C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C174A" w:rsidRPr="00D53E8B" w14:paraId="104CBC6F" w14:textId="77777777" w:rsidTr="004B75C9">
        <w:trPr>
          <w:tblHeader/>
        </w:trPr>
        <w:tc>
          <w:tcPr>
            <w:tcW w:w="2665" w:type="dxa"/>
            <w:tcBorders>
              <w:bottom w:val="nil"/>
            </w:tcBorders>
          </w:tcPr>
          <w:p w14:paraId="6EC01DF1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Fluktuacja kadr zespołu projektowego oraz zespołów terenowych.</w:t>
            </w:r>
          </w:p>
        </w:tc>
        <w:tc>
          <w:tcPr>
            <w:tcW w:w="1417" w:type="dxa"/>
            <w:tcBorders>
              <w:bottom w:val="nil"/>
            </w:tcBorders>
          </w:tcPr>
          <w:p w14:paraId="5B499D89" w14:textId="77777777" w:rsidR="007C174A" w:rsidRPr="00D53E8B" w:rsidRDefault="007C174A" w:rsidP="004B75C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418" w:type="dxa"/>
            <w:tcBorders>
              <w:bottom w:val="nil"/>
            </w:tcBorders>
          </w:tcPr>
          <w:p w14:paraId="322D7BB2" w14:textId="77777777" w:rsidR="007C174A" w:rsidRPr="00D53E8B" w:rsidRDefault="007C174A" w:rsidP="004B75C9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4252" w:type="dxa"/>
            <w:tcBorders>
              <w:bottom w:val="nil"/>
            </w:tcBorders>
          </w:tcPr>
          <w:p w14:paraId="15EF16DC" w14:textId="77777777" w:rsidR="00052C85" w:rsidRPr="00D53E8B" w:rsidRDefault="004770DC" w:rsidP="00283A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Występuje potrzeba dalszej zmiany w zakresie zarzadzania ryzykiem</w:t>
            </w:r>
            <w:r w:rsidR="00270DE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fluktuacji kadr w stosunku do poprzedniego okresu sprawozdawczego, tym razem poprzez zwiększenie liczebności pracowników Centrali Monitorowania.</w:t>
            </w:r>
            <w:r w:rsidR="00364F11">
              <w:rPr>
                <w:rFonts w:ascii="Arial" w:hAnsi="Arial" w:cs="Arial"/>
                <w:sz w:val="20"/>
                <w:szCs w:val="20"/>
              </w:rPr>
              <w:t xml:space="preserve"> Możliwe do realizacji w przyszłym okresie. Brak zmian w zakresie tego ryzyka w odniesieniu do poprzedniego okresu sprawozdawczego.</w:t>
            </w:r>
          </w:p>
        </w:tc>
      </w:tr>
      <w:tr w:rsidR="007C174A" w:rsidRPr="00D53E8B" w14:paraId="0DCC7C90" w14:textId="77777777" w:rsidTr="004B75C9">
        <w:trPr>
          <w:tblHeader/>
        </w:trPr>
        <w:tc>
          <w:tcPr>
            <w:tcW w:w="2665" w:type="dxa"/>
            <w:tcBorders>
              <w:top w:val="nil"/>
              <w:bottom w:val="nil"/>
            </w:tcBorders>
          </w:tcPr>
          <w:p w14:paraId="6AE59EE0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Źle funkcjonujący proces odbioru produktów i </w:t>
            </w:r>
            <w:proofErr w:type="spellStart"/>
            <w:r w:rsidRPr="00D53E8B">
              <w:rPr>
                <w:rFonts w:ascii="Arial" w:hAnsi="Arial" w:cs="Arial"/>
                <w:sz w:val="20"/>
                <w:szCs w:val="20"/>
              </w:rPr>
              <w:t>podproduktów</w:t>
            </w:r>
            <w:proofErr w:type="spellEnd"/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60CEC31" w14:textId="77777777" w:rsidR="007C174A" w:rsidRPr="00D53E8B" w:rsidRDefault="007C174A" w:rsidP="004B75C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8CDCE2C" w14:textId="77777777" w:rsidR="007C174A" w:rsidRPr="00D53E8B" w:rsidRDefault="007C174A" w:rsidP="004B75C9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14:paraId="4A6B3491" w14:textId="77777777" w:rsidR="005474F7" w:rsidRPr="00D53E8B" w:rsidRDefault="005474F7" w:rsidP="00283A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odnosi się  do zadań modyfikacji rozwiązań projektowych</w:t>
            </w:r>
            <w:r w:rsidR="0018611A">
              <w:rPr>
                <w:rFonts w:ascii="Arial" w:hAnsi="Arial" w:cs="Arial"/>
                <w:sz w:val="20"/>
                <w:szCs w:val="20"/>
              </w:rPr>
              <w:t xml:space="preserve"> systemu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75E3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675E36" w:rsidRPr="00D53E8B">
              <w:rPr>
                <w:rFonts w:ascii="Arial" w:hAnsi="Arial" w:cs="Arial"/>
                <w:sz w:val="20"/>
                <w:szCs w:val="20"/>
              </w:rPr>
              <w:t>rocedur</w:t>
            </w:r>
            <w:r w:rsidR="00675E36">
              <w:rPr>
                <w:rFonts w:ascii="Arial" w:hAnsi="Arial" w:cs="Arial"/>
                <w:sz w:val="20"/>
                <w:szCs w:val="20"/>
              </w:rPr>
              <w:t>y</w:t>
            </w:r>
            <w:r w:rsidR="00675E36" w:rsidRPr="00D53E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E36">
              <w:rPr>
                <w:rFonts w:ascii="Arial" w:hAnsi="Arial" w:cs="Arial"/>
                <w:sz w:val="20"/>
                <w:szCs w:val="20"/>
              </w:rPr>
              <w:t xml:space="preserve">testowania i </w:t>
            </w:r>
            <w:r w:rsidR="00675E36" w:rsidRPr="00D53E8B">
              <w:rPr>
                <w:rFonts w:ascii="Arial" w:hAnsi="Arial" w:cs="Arial"/>
                <w:sz w:val="20"/>
                <w:szCs w:val="20"/>
              </w:rPr>
              <w:t xml:space="preserve">odbioru produktów i </w:t>
            </w:r>
            <w:proofErr w:type="spellStart"/>
            <w:r w:rsidR="00675E36" w:rsidRPr="00D53E8B">
              <w:rPr>
                <w:rFonts w:ascii="Arial" w:hAnsi="Arial" w:cs="Arial"/>
                <w:sz w:val="20"/>
                <w:szCs w:val="20"/>
              </w:rPr>
              <w:t>podproduktów</w:t>
            </w:r>
            <w:proofErr w:type="spellEnd"/>
            <w:r w:rsidR="00675E36">
              <w:rPr>
                <w:rFonts w:ascii="Arial" w:hAnsi="Arial" w:cs="Arial"/>
                <w:sz w:val="20"/>
                <w:szCs w:val="20"/>
              </w:rPr>
              <w:t xml:space="preserve"> są więc w miarę potrzeb</w:t>
            </w:r>
            <w:r w:rsidR="00163D73">
              <w:rPr>
                <w:rFonts w:ascii="Arial" w:hAnsi="Arial" w:cs="Arial"/>
                <w:sz w:val="20"/>
                <w:szCs w:val="20"/>
              </w:rPr>
              <w:t>y</w:t>
            </w:r>
            <w:r w:rsidR="00675E36">
              <w:rPr>
                <w:rFonts w:ascii="Arial" w:hAnsi="Arial" w:cs="Arial"/>
                <w:sz w:val="20"/>
                <w:szCs w:val="20"/>
              </w:rPr>
              <w:t xml:space="preserve"> odpowiednio modyfikowane.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5E36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rzeprowadz</w:t>
            </w:r>
            <w:r w:rsidR="00675E36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E1AE9">
              <w:rPr>
                <w:rFonts w:ascii="Arial" w:hAnsi="Arial" w:cs="Arial"/>
                <w:sz w:val="20"/>
                <w:szCs w:val="20"/>
              </w:rPr>
              <w:t xml:space="preserve">e zostały </w:t>
            </w:r>
            <w:r>
              <w:rPr>
                <w:rFonts w:ascii="Arial" w:hAnsi="Arial" w:cs="Arial"/>
                <w:sz w:val="20"/>
                <w:szCs w:val="20"/>
              </w:rPr>
              <w:t>okreso</w:t>
            </w:r>
            <w:r w:rsidR="0018611A">
              <w:rPr>
                <w:rFonts w:ascii="Arial" w:hAnsi="Arial" w:cs="Arial"/>
                <w:sz w:val="20"/>
                <w:szCs w:val="20"/>
              </w:rPr>
              <w:t>we</w:t>
            </w:r>
            <w:r>
              <w:rPr>
                <w:rFonts w:ascii="Arial" w:hAnsi="Arial" w:cs="Arial"/>
                <w:sz w:val="20"/>
                <w:szCs w:val="20"/>
              </w:rPr>
              <w:t xml:space="preserve"> spotka</w:t>
            </w:r>
            <w:r w:rsidR="0018611A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Administratorów systemu z przedstawicielami projektantów i programistów Wykonawcy.</w:t>
            </w:r>
            <w:r w:rsidR="00163D73">
              <w:rPr>
                <w:rFonts w:ascii="Arial" w:hAnsi="Arial" w:cs="Arial"/>
                <w:sz w:val="20"/>
                <w:szCs w:val="20"/>
              </w:rPr>
              <w:t xml:space="preserve"> Stosownie do realizowanych zadań modyfikacji systemu spotkania te będą kontynuowane.</w:t>
            </w:r>
            <w:r>
              <w:rPr>
                <w:rFonts w:ascii="Arial" w:hAnsi="Arial" w:cs="Arial"/>
                <w:sz w:val="20"/>
                <w:szCs w:val="20"/>
              </w:rPr>
              <w:t xml:space="preserve"> Brak zmian </w:t>
            </w:r>
            <w:r w:rsidR="00163D73">
              <w:rPr>
                <w:rFonts w:ascii="Arial" w:hAnsi="Arial" w:cs="Arial"/>
                <w:sz w:val="20"/>
                <w:szCs w:val="20"/>
              </w:rPr>
              <w:t xml:space="preserve">w zakresie tego ryzyka </w:t>
            </w:r>
            <w:r>
              <w:rPr>
                <w:rFonts w:ascii="Arial" w:hAnsi="Arial" w:cs="Arial"/>
                <w:sz w:val="20"/>
                <w:szCs w:val="20"/>
              </w:rPr>
              <w:t>w odniesieniu do poprzedniego okresu sprawozdawczego.</w:t>
            </w:r>
          </w:p>
        </w:tc>
      </w:tr>
      <w:tr w:rsidR="007C174A" w:rsidRPr="00D53E8B" w14:paraId="6DB8FE0B" w14:textId="77777777" w:rsidTr="004B75C9">
        <w:trPr>
          <w:tblHeader/>
        </w:trPr>
        <w:tc>
          <w:tcPr>
            <w:tcW w:w="2665" w:type="dxa"/>
            <w:tcBorders>
              <w:top w:val="nil"/>
              <w:bottom w:val="nil"/>
            </w:tcBorders>
          </w:tcPr>
          <w:p w14:paraId="78D36AA3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Zła współpraca i brak koordynacji prac członków konsorcjum Wykonawcy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1AEF69C" w14:textId="77777777" w:rsidR="007C174A" w:rsidRPr="00D53E8B" w:rsidRDefault="007C174A" w:rsidP="004B75C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037A135" w14:textId="77777777" w:rsidR="007C174A" w:rsidRPr="00D53E8B" w:rsidRDefault="007C174A" w:rsidP="004B75C9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top w:val="nil"/>
              <w:bottom w:val="nil"/>
            </w:tcBorders>
          </w:tcPr>
          <w:p w14:paraId="41301C43" w14:textId="77777777" w:rsidR="005474F7" w:rsidRPr="00D53E8B" w:rsidRDefault="005474F7" w:rsidP="00283A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Brak właściwej współpracy czterech konsorcjantów może utrudniać lub uniemożliwić wykonania</w:t>
            </w:r>
            <w:r>
              <w:rPr>
                <w:rFonts w:ascii="Arial" w:hAnsi="Arial" w:cs="Arial"/>
                <w:sz w:val="20"/>
                <w:szCs w:val="20"/>
              </w:rPr>
              <w:t xml:space="preserve"> umowy</w:t>
            </w:r>
            <w:r w:rsidRPr="00D53E8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3E8B">
              <w:rPr>
                <w:rFonts w:ascii="Arial" w:hAnsi="Arial" w:cs="Arial"/>
                <w:sz w:val="20"/>
                <w:szCs w:val="20"/>
              </w:rPr>
              <w:t xml:space="preserve">Przeprowadzać spotkania przedstawicieli użytkownika i dostawcy w Komitecie Sterującym projektu z </w:t>
            </w:r>
            <w:r w:rsidR="004B75C9">
              <w:rPr>
                <w:rFonts w:ascii="Arial" w:hAnsi="Arial" w:cs="Arial"/>
                <w:sz w:val="20"/>
                <w:szCs w:val="20"/>
              </w:rPr>
              <w:t xml:space="preserve">Liderem konsorcjum lub w miarę potrzeb z </w:t>
            </w:r>
            <w:r w:rsidRPr="00D53E8B">
              <w:rPr>
                <w:rFonts w:ascii="Arial" w:hAnsi="Arial" w:cs="Arial"/>
                <w:sz w:val="20"/>
                <w:szCs w:val="20"/>
              </w:rPr>
              <w:t>kierownictwem firm konsorcjantów</w:t>
            </w:r>
            <w:r>
              <w:rPr>
                <w:rFonts w:ascii="Arial" w:hAnsi="Arial" w:cs="Arial"/>
                <w:sz w:val="20"/>
                <w:szCs w:val="20"/>
              </w:rPr>
              <w:t xml:space="preserve">. Brak zmian </w:t>
            </w:r>
            <w:r w:rsidR="000F37FF">
              <w:rPr>
                <w:rFonts w:ascii="Arial" w:hAnsi="Arial" w:cs="Arial"/>
                <w:sz w:val="20"/>
                <w:szCs w:val="20"/>
              </w:rPr>
              <w:t xml:space="preserve">w zakresie tego ryzyka </w:t>
            </w:r>
            <w:r>
              <w:rPr>
                <w:rFonts w:ascii="Arial" w:hAnsi="Arial" w:cs="Arial"/>
                <w:sz w:val="20"/>
                <w:szCs w:val="20"/>
              </w:rPr>
              <w:t>w odniesieniu do poprzedniego okresu sprawozdawczego.</w:t>
            </w:r>
          </w:p>
        </w:tc>
      </w:tr>
      <w:tr w:rsidR="007C174A" w:rsidRPr="00186136" w14:paraId="79A5674D" w14:textId="77777777" w:rsidTr="000F7325">
        <w:trPr>
          <w:trHeight w:val="2051"/>
          <w:tblHeader/>
        </w:trPr>
        <w:tc>
          <w:tcPr>
            <w:tcW w:w="2665" w:type="dxa"/>
            <w:tcBorders>
              <w:top w:val="nil"/>
              <w:bottom w:val="single" w:sz="4" w:space="0" w:color="auto"/>
            </w:tcBorders>
          </w:tcPr>
          <w:p w14:paraId="6CF6E5AD" w14:textId="77777777" w:rsidR="007C174A" w:rsidRPr="00186136" w:rsidRDefault="007C174A" w:rsidP="004B75C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Utrudnienia realizacji zadań przez funkcjonariuszy i pracowników SW</w:t>
            </w:r>
            <w:r w:rsidRPr="00186136">
              <w:rPr>
                <w:rFonts w:ascii="Arial" w:eastAsia="Calibri" w:hAnsi="Arial" w:cs="Arial"/>
                <w:sz w:val="20"/>
                <w:szCs w:val="20"/>
              </w:rPr>
              <w:t xml:space="preserve"> w związku z wystąpieniem stanu epidemii wywołanego zakażeniami wirusem SARS-CoV-2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6D61D73" w14:textId="77777777" w:rsidR="007C174A" w:rsidRPr="00186136" w:rsidRDefault="007C174A" w:rsidP="004B75C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86136">
              <w:rPr>
                <w:rFonts w:ascii="Arial" w:eastAsia="Calibri" w:hAnsi="Arial" w:cs="Arial"/>
                <w:sz w:val="20"/>
                <w:szCs w:val="20"/>
              </w:rPr>
              <w:t>Średnia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F34AB80" w14:textId="77777777" w:rsidR="007C174A" w:rsidRPr="00186136" w:rsidRDefault="007C174A" w:rsidP="004B75C9">
            <w:pPr>
              <w:spacing w:before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61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14:paraId="52A44ED3" w14:textId="77777777" w:rsidR="007C174A" w:rsidRDefault="000F7325" w:rsidP="00283AB9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Utrzymujący się stan zagrożenia epidemicznego oraz konieczność przestrzegania związanych z nim ograniczeń, nakazów i zakazów nadal powoduje utrudnienia realizacji zadań i w związku z tym </w:t>
            </w:r>
            <w:r w:rsidR="00E63EF8">
              <w:rPr>
                <w:rFonts w:ascii="Arial" w:hAnsi="Arial" w:cs="Arial"/>
                <w:sz w:val="20"/>
                <w:szCs w:val="20"/>
              </w:rPr>
              <w:t xml:space="preserve">należy </w:t>
            </w:r>
            <w:r>
              <w:rPr>
                <w:rFonts w:ascii="Arial" w:hAnsi="Arial" w:cs="Arial"/>
                <w:sz w:val="20"/>
                <w:szCs w:val="20"/>
              </w:rPr>
              <w:t>kontynu</w:t>
            </w:r>
            <w:r w:rsidR="00E63EF8">
              <w:rPr>
                <w:rFonts w:ascii="Arial" w:hAnsi="Arial" w:cs="Arial"/>
                <w:sz w:val="20"/>
                <w:szCs w:val="20"/>
              </w:rPr>
              <w:t>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zastosowan</w:t>
            </w:r>
            <w:r w:rsidR="00E63EF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3EF8">
              <w:rPr>
                <w:rFonts w:ascii="Arial" w:hAnsi="Arial" w:cs="Arial"/>
                <w:sz w:val="20"/>
                <w:szCs w:val="20"/>
              </w:rPr>
              <w:t xml:space="preserve">w poprzednim okresie </w:t>
            </w:r>
            <w:r>
              <w:rPr>
                <w:rFonts w:ascii="Arial" w:hAnsi="Arial" w:cs="Arial"/>
                <w:sz w:val="20"/>
                <w:szCs w:val="20"/>
              </w:rPr>
              <w:t>środk</w:t>
            </w:r>
            <w:r w:rsidR="00E63EF8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i przedsięwzię</w:t>
            </w:r>
            <w:r w:rsidR="00E63EF8">
              <w:rPr>
                <w:rFonts w:ascii="Arial" w:hAnsi="Arial" w:cs="Arial"/>
                <w:sz w:val="20"/>
                <w:szCs w:val="20"/>
              </w:rPr>
              <w:t xml:space="preserve">cia. </w:t>
            </w:r>
            <w:r w:rsidR="000F37FF">
              <w:rPr>
                <w:rFonts w:ascii="Arial" w:hAnsi="Arial" w:cs="Arial"/>
                <w:sz w:val="20"/>
                <w:szCs w:val="20"/>
              </w:rPr>
              <w:t>Wystąpiła potrzeba uspra</w:t>
            </w:r>
            <w:r w:rsidR="00E63EF8">
              <w:rPr>
                <w:rFonts w:ascii="Arial" w:hAnsi="Arial" w:cs="Arial"/>
                <w:sz w:val="20"/>
                <w:szCs w:val="20"/>
              </w:rPr>
              <w:t xml:space="preserve">wnienia i upłynnienia </w:t>
            </w:r>
            <w:r w:rsidR="000F37FF">
              <w:rPr>
                <w:rFonts w:ascii="Arial" w:hAnsi="Arial" w:cs="Arial"/>
                <w:sz w:val="20"/>
                <w:szCs w:val="20"/>
              </w:rPr>
              <w:t xml:space="preserve">dystrybucji zgłoszeń telefonicznych od osób objętych systemem SDE pomiędzy </w:t>
            </w:r>
            <w:r w:rsidR="00E63EF8">
              <w:rPr>
                <w:rFonts w:ascii="Arial" w:hAnsi="Arial" w:cs="Arial"/>
                <w:sz w:val="20"/>
                <w:szCs w:val="20"/>
              </w:rPr>
              <w:t xml:space="preserve">telefony </w:t>
            </w:r>
            <w:r w:rsidR="000F37FF">
              <w:rPr>
                <w:rFonts w:ascii="Arial" w:hAnsi="Arial" w:cs="Arial"/>
                <w:sz w:val="20"/>
                <w:szCs w:val="20"/>
              </w:rPr>
              <w:t>pracowników centrali</w:t>
            </w:r>
            <w:r w:rsidR="00364F11">
              <w:rPr>
                <w:rFonts w:ascii="Arial" w:hAnsi="Arial" w:cs="Arial"/>
                <w:sz w:val="20"/>
                <w:szCs w:val="20"/>
              </w:rPr>
              <w:t xml:space="preserve"> w trybie zdalnym</w:t>
            </w:r>
            <w:r w:rsidR="000F37FF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Brak zmian </w:t>
            </w:r>
            <w:r w:rsidR="000F37FF">
              <w:rPr>
                <w:rFonts w:ascii="Arial" w:hAnsi="Arial" w:cs="Arial"/>
                <w:sz w:val="20"/>
                <w:szCs w:val="20"/>
              </w:rPr>
              <w:t xml:space="preserve">w zakresie tego ryzyka </w:t>
            </w:r>
            <w:r>
              <w:rPr>
                <w:rFonts w:ascii="Arial" w:hAnsi="Arial" w:cs="Arial"/>
                <w:sz w:val="20"/>
                <w:szCs w:val="20"/>
              </w:rPr>
              <w:t>w odniesieniu do poprzedniego okresu sprawozdawczego</w:t>
            </w:r>
          </w:p>
          <w:p w14:paraId="0470E247" w14:textId="77777777" w:rsidR="008529DA" w:rsidRPr="00186136" w:rsidRDefault="008529DA" w:rsidP="000F37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78E6F0" w14:textId="77777777" w:rsidR="007C174A" w:rsidRDefault="007C174A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E4069AB" w14:textId="77777777" w:rsidR="00283AB9" w:rsidRDefault="00283AB9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228ED9" w14:textId="77777777" w:rsidR="007C174A" w:rsidRDefault="007C174A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p w14:paraId="40CF10D8" w14:textId="77777777" w:rsidR="007C174A" w:rsidRDefault="007C174A" w:rsidP="007C174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418"/>
        <w:gridCol w:w="4280"/>
      </w:tblGrid>
      <w:tr w:rsidR="007C174A" w:rsidRPr="00AC2C43" w14:paraId="27BD0D10" w14:textId="77777777" w:rsidTr="004B75C9">
        <w:trPr>
          <w:trHeight w:val="724"/>
        </w:trPr>
        <w:tc>
          <w:tcPr>
            <w:tcW w:w="266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60B87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52ACF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382F33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795DD" w14:textId="77777777" w:rsidR="007C174A" w:rsidRPr="00AC2C43" w:rsidRDefault="007C174A" w:rsidP="004B75C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C2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C174A" w:rsidRPr="00ED652E" w14:paraId="314FA3D8" w14:textId="77777777" w:rsidTr="004B75C9">
        <w:trPr>
          <w:trHeight w:val="724"/>
        </w:trPr>
        <w:tc>
          <w:tcPr>
            <w:tcW w:w="2665" w:type="dxa"/>
            <w:tcBorders>
              <w:bottom w:val="nil"/>
            </w:tcBorders>
            <w:shd w:val="clear" w:color="auto" w:fill="auto"/>
          </w:tcPr>
          <w:p w14:paraId="1AAAE71F" w14:textId="77777777" w:rsidR="007C174A" w:rsidRPr="00810422" w:rsidRDefault="007C174A" w:rsidP="009F56AE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Zmiany Ustawy o SDE istotnie zmieniające funkcjonowanie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- m</w:t>
            </w:r>
            <w:r w:rsidRPr="007C270C">
              <w:rPr>
                <w:rFonts w:ascii="Arial" w:hAnsi="Arial" w:cs="Arial"/>
                <w:sz w:val="20"/>
                <w:szCs w:val="20"/>
              </w:rPr>
              <w:t>odernizacja i rozbudowa systemu SDE3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</w:tcPr>
          <w:p w14:paraId="29714E9B" w14:textId="77777777" w:rsidR="007C174A" w:rsidRPr="00D53E8B" w:rsidRDefault="007C174A" w:rsidP="009F56A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14:paraId="7AE14894" w14:textId="77777777" w:rsidR="007C174A" w:rsidRPr="00D53E8B" w:rsidRDefault="007C174A" w:rsidP="009F56A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80" w:type="dxa"/>
            <w:tcBorders>
              <w:bottom w:val="nil"/>
            </w:tcBorders>
            <w:shd w:val="clear" w:color="auto" w:fill="FFFFFF"/>
          </w:tcPr>
          <w:p w14:paraId="2FAA3F6A" w14:textId="77777777" w:rsidR="007C174A" w:rsidRPr="00A17F2D" w:rsidRDefault="007C174A" w:rsidP="009F56A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Pr="007C270C">
              <w:rPr>
                <w:rFonts w:ascii="Arial" w:hAnsi="Arial" w:cs="Arial"/>
                <w:sz w:val="20"/>
                <w:szCs w:val="20"/>
              </w:rPr>
              <w:t xml:space="preserve"> ustawy Kodeks karny wykonawczy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dotyczącym SDE </w:t>
            </w:r>
            <w:r w:rsidRPr="008B285A">
              <w:rPr>
                <w:rFonts w:ascii="Arial" w:hAnsi="Arial" w:cs="Arial"/>
                <w:sz w:val="20"/>
                <w:szCs w:val="20"/>
              </w:rPr>
              <w:t xml:space="preserve">rozszerza zakres </w:t>
            </w:r>
            <w:r>
              <w:rPr>
                <w:rFonts w:ascii="Arial" w:hAnsi="Arial" w:cs="Arial"/>
                <w:sz w:val="20"/>
                <w:szCs w:val="20"/>
              </w:rPr>
              <w:t xml:space="preserve">jego </w:t>
            </w:r>
            <w:r w:rsidRPr="008B285A">
              <w:rPr>
                <w:rFonts w:ascii="Arial" w:hAnsi="Arial" w:cs="Arial"/>
                <w:sz w:val="20"/>
                <w:szCs w:val="20"/>
              </w:rPr>
              <w:t>stosowania na skazanych, wobec których orzeczono karę pozbawienia wolności do roku i sześciu miesięcy (dotychczas do roku), co zwiększy istotnie populację osób, któ</w:t>
            </w:r>
            <w:r>
              <w:rPr>
                <w:rFonts w:ascii="Arial" w:hAnsi="Arial" w:cs="Arial"/>
                <w:sz w:val="20"/>
                <w:szCs w:val="20"/>
              </w:rPr>
              <w:t>re objęte bę</w:t>
            </w:r>
            <w:r w:rsidRPr="008B285A">
              <w:rPr>
                <w:rFonts w:ascii="Arial" w:hAnsi="Arial" w:cs="Arial"/>
                <w:sz w:val="20"/>
                <w:szCs w:val="20"/>
              </w:rPr>
              <w:t>dą systemem. Spowoduje to zwiększenie liczby zadań realizowanych przez podmiot dozorują</w:t>
            </w:r>
            <w:r>
              <w:rPr>
                <w:rFonts w:ascii="Arial" w:hAnsi="Arial" w:cs="Arial"/>
                <w:sz w:val="20"/>
                <w:szCs w:val="20"/>
              </w:rPr>
              <w:t>cy i wymagać będzie rozbudowy infrastruktury techniczno-systemowej oraz zwiększenia liczby urządzeń monitorujących. Opracowa</w:t>
            </w:r>
            <w:r w:rsidR="000F7325">
              <w:rPr>
                <w:rFonts w:ascii="Arial" w:hAnsi="Arial" w:cs="Arial"/>
                <w:sz w:val="20"/>
                <w:szCs w:val="20"/>
              </w:rPr>
              <w:t>no propozycję</w:t>
            </w:r>
            <w:r>
              <w:rPr>
                <w:rFonts w:ascii="Arial" w:hAnsi="Arial" w:cs="Arial"/>
                <w:sz w:val="20"/>
                <w:szCs w:val="20"/>
              </w:rPr>
              <w:t xml:space="preserve"> rozwiązań w aspekcie organizacyjnym, technicznym i finansowym do decyzji Kierownictwa MS i SW.</w:t>
            </w:r>
            <w:r w:rsidR="000F7325">
              <w:rPr>
                <w:rFonts w:ascii="Arial" w:hAnsi="Arial" w:cs="Arial"/>
                <w:sz w:val="20"/>
                <w:szCs w:val="20"/>
              </w:rPr>
              <w:t xml:space="preserve"> Brak zmian w odniesieniu do poprzedniego okresu sprawozdawczego.</w:t>
            </w:r>
          </w:p>
        </w:tc>
      </w:tr>
      <w:tr w:rsidR="007C174A" w:rsidRPr="001B6667" w14:paraId="5C8D84C9" w14:textId="77777777" w:rsidTr="004B75C9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574D633E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Błędne funkcjonowanie urządzeń monitorujących zwłaszcza w scenariuszu zakazu zbliżania się do osoby i do obiektu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4EE53031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4976AC81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68C4AF7F" w14:textId="77777777" w:rsidR="007C174A" w:rsidRPr="00D53E8B" w:rsidRDefault="005E457D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odniesieniu do poprzedniego okresu sprawozdawczego.</w:t>
            </w:r>
          </w:p>
        </w:tc>
      </w:tr>
      <w:tr w:rsidR="007C174A" w:rsidRPr="001B6667" w14:paraId="1670DD96" w14:textId="77777777" w:rsidTr="004B75C9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3C2BF134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Nieprecyzyjna lokalizacja skazanego przez urządzenia monitorujące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7CD13E17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0247EF45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1CB2E7BC" w14:textId="77777777" w:rsidR="007C174A" w:rsidRPr="00D53E8B" w:rsidRDefault="005E457D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odniesieniu do poprzedniego okresu sprawozdawczego.</w:t>
            </w:r>
          </w:p>
        </w:tc>
      </w:tr>
      <w:tr w:rsidR="007C174A" w:rsidRPr="001B6667" w14:paraId="531773DF" w14:textId="77777777" w:rsidTr="009F56AE">
        <w:trPr>
          <w:trHeight w:val="724"/>
        </w:trPr>
        <w:tc>
          <w:tcPr>
            <w:tcW w:w="2665" w:type="dxa"/>
            <w:tcBorders>
              <w:top w:val="nil"/>
              <w:bottom w:val="nil"/>
            </w:tcBorders>
            <w:shd w:val="clear" w:color="auto" w:fill="auto"/>
          </w:tcPr>
          <w:p w14:paraId="02F17626" w14:textId="77777777" w:rsidR="007C174A" w:rsidRPr="00D53E8B" w:rsidRDefault="007C174A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 xml:space="preserve">Brak wydajności systemu przy równoległej pracy wielu użytkowników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</w:tcPr>
          <w:p w14:paraId="044E3B31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</w:tcPr>
          <w:p w14:paraId="484180CC" w14:textId="77777777" w:rsidR="007C174A" w:rsidRPr="00D53E8B" w:rsidRDefault="007C174A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3E8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80" w:type="dxa"/>
            <w:tcBorders>
              <w:top w:val="nil"/>
              <w:bottom w:val="nil"/>
            </w:tcBorders>
            <w:shd w:val="clear" w:color="auto" w:fill="FFFFFF"/>
          </w:tcPr>
          <w:p w14:paraId="13F6F336" w14:textId="77777777" w:rsidR="007C174A" w:rsidRDefault="005E457D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odniesieniu do poprzedniego okresu sprawozdawczego.</w:t>
            </w:r>
          </w:p>
          <w:p w14:paraId="03DD1266" w14:textId="77777777" w:rsidR="005E457D" w:rsidRPr="00D53E8B" w:rsidRDefault="005E457D" w:rsidP="004B75C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57D" w:rsidRPr="001B6667" w14:paraId="1DE84D36" w14:textId="77777777" w:rsidTr="009F56AE">
        <w:trPr>
          <w:trHeight w:val="724"/>
        </w:trPr>
        <w:tc>
          <w:tcPr>
            <w:tcW w:w="266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C52148" w14:textId="77777777" w:rsidR="005E457D" w:rsidRPr="00D53E8B" w:rsidRDefault="009F56AE" w:rsidP="009F56AE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Intensywność użytkowania pojazdów w procesie realizacji ustawowych zadań przez Zespoły Terenowe rodzi ryzyko w</w:t>
            </w:r>
            <w:r w:rsidR="005E457D">
              <w:rPr>
                <w:rFonts w:ascii="Arial" w:hAnsi="Arial" w:cs="Arial"/>
                <w:sz w:val="20"/>
                <w:szCs w:val="20"/>
              </w:rPr>
              <w:t>yeksploatowani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5E457D">
              <w:rPr>
                <w:rFonts w:ascii="Arial" w:hAnsi="Arial" w:cs="Arial"/>
                <w:sz w:val="20"/>
                <w:szCs w:val="20"/>
              </w:rPr>
              <w:t xml:space="preserve"> floty samochodowej</w:t>
            </w:r>
            <w:r>
              <w:rPr>
                <w:rFonts w:ascii="Arial" w:hAnsi="Arial" w:cs="Arial"/>
                <w:sz w:val="20"/>
                <w:szCs w:val="20"/>
              </w:rPr>
              <w:t xml:space="preserve"> w rocznym horyzoncie.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69A96E1" w14:textId="77777777" w:rsidR="005E457D" w:rsidRPr="00D53E8B" w:rsidRDefault="005E457D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39B19C4" w14:textId="77777777" w:rsidR="005E457D" w:rsidRPr="00D53E8B" w:rsidRDefault="009F56AE" w:rsidP="004B75C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8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03860D9" w14:textId="77777777" w:rsidR="005E457D" w:rsidRPr="00D53E8B" w:rsidRDefault="005E457D" w:rsidP="009F56A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Dysponowanie sprawnymi, pozostającymi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ciagłej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gotowości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uzycia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pojazdami samochodowymi jest - obok mobilnej infrastruktury informatycznej - kluczowym czynnikiem wykonywania zadań materialno-technicznych określonych zapisami ustawy </w:t>
            </w:r>
            <w:r w:rsidRPr="007C270C">
              <w:rPr>
                <w:rFonts w:ascii="Arial" w:hAnsi="Arial" w:cs="Arial"/>
                <w:sz w:val="20"/>
                <w:szCs w:val="20"/>
              </w:rPr>
              <w:t>Kodeks karny wykonawczy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dotyczącym SDE. Opracować propozycje rozwiązań do decyzji Kierownictwa MS i SW.</w:t>
            </w:r>
          </w:p>
        </w:tc>
      </w:tr>
    </w:tbl>
    <w:p w14:paraId="73E6C510" w14:textId="77777777" w:rsidR="007C174A" w:rsidRPr="00A26BE2" w:rsidRDefault="007C174A" w:rsidP="007C174A">
      <w:pPr>
        <w:pStyle w:val="Akapitzlist"/>
        <w:spacing w:before="120" w:after="120"/>
        <w:ind w:left="425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7722FCB5" w14:textId="77777777" w:rsidR="007C174A" w:rsidRPr="00A26BE2" w:rsidRDefault="007C174A" w:rsidP="007C174A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14459C60" w14:textId="77777777" w:rsidR="007C174A" w:rsidRPr="00DB436D" w:rsidRDefault="007C174A" w:rsidP="007C174A">
      <w:pPr>
        <w:spacing w:after="0" w:line="240" w:lineRule="auto"/>
        <w:ind w:firstLine="142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B436D">
        <w:rPr>
          <w:rFonts w:ascii="Arial" w:hAnsi="Arial" w:cs="Arial"/>
        </w:rPr>
        <w:t>Nie dotyczy</w:t>
      </w:r>
      <w:r w:rsidRPr="00DB436D">
        <w:rPr>
          <w:rFonts w:ascii="Arial" w:hAnsi="Arial" w:cs="Arial"/>
          <w:sz w:val="18"/>
          <w:szCs w:val="18"/>
        </w:rPr>
        <w:t>.</w:t>
      </w:r>
    </w:p>
    <w:p w14:paraId="4D8CC2A6" w14:textId="77777777" w:rsidR="007C174A" w:rsidRPr="00A26BE2" w:rsidRDefault="007C174A" w:rsidP="007C174A">
      <w:pPr>
        <w:pStyle w:val="Akapitzlist"/>
        <w:numPr>
          <w:ilvl w:val="0"/>
          <w:numId w:val="19"/>
        </w:numPr>
        <w:spacing w:before="120"/>
        <w:ind w:left="357" w:hanging="357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C1447DA" w14:textId="77777777" w:rsidR="007C174A" w:rsidRPr="0080286C" w:rsidRDefault="007C174A" w:rsidP="007C174A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</w:rPr>
      </w:pPr>
      <w:r w:rsidRPr="0080286C">
        <w:rPr>
          <w:rFonts w:ascii="Arial" w:hAnsi="Arial" w:cs="Arial"/>
        </w:rPr>
        <w:t xml:space="preserve">Artur Piotrowski, Biuro Dozoru Elektronicznego Centralnego Zarządu Służby Więziennej, </w:t>
      </w:r>
    </w:p>
    <w:p w14:paraId="21153F1A" w14:textId="77777777" w:rsidR="00A92887" w:rsidRPr="00B60735" w:rsidRDefault="00A315AD" w:rsidP="00283AB9">
      <w:pPr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lang w:val="en-US"/>
        </w:rPr>
      </w:pPr>
      <w:hyperlink r:id="rId8" w:history="1">
        <w:r w:rsidR="007C174A" w:rsidRPr="0080286C">
          <w:rPr>
            <w:rStyle w:val="Hipercze"/>
            <w:rFonts w:ascii="Arial" w:hAnsi="Arial" w:cs="Arial"/>
            <w:lang w:val="en-US"/>
          </w:rPr>
          <w:t>Artur.Piotrowski@sw.gov.pl</w:t>
        </w:r>
      </w:hyperlink>
      <w:r w:rsidR="007C174A" w:rsidRPr="0080286C">
        <w:rPr>
          <w:rFonts w:ascii="Arial" w:hAnsi="Arial" w:cs="Arial"/>
          <w:lang w:val="en-US"/>
        </w:rPr>
        <w:t>,  tel. 225188237</w:t>
      </w:r>
    </w:p>
    <w:sectPr w:rsidR="00A92887" w:rsidRPr="00B6073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4987B" w14:textId="77777777" w:rsidR="006304DF" w:rsidRDefault="006304DF" w:rsidP="00BB2420">
      <w:pPr>
        <w:spacing w:after="0" w:line="240" w:lineRule="auto"/>
      </w:pPr>
      <w:r>
        <w:separator/>
      </w:r>
    </w:p>
  </w:endnote>
  <w:endnote w:type="continuationSeparator" w:id="0">
    <w:p w14:paraId="560BDC86" w14:textId="77777777" w:rsidR="006304DF" w:rsidRDefault="006304D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illiumRegular">
    <w:altName w:val="Times New Roman"/>
    <w:panose1 w:val="00000000000000000000"/>
    <w:charset w:val="00"/>
    <w:family w:val="roman"/>
    <w:notTrueType/>
    <w:pitch w:val="default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9049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D243DA1" w14:textId="77777777" w:rsidR="004B75C9" w:rsidRDefault="004B7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83AB9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83AB9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25D1625" w14:textId="77777777" w:rsidR="004B75C9" w:rsidRDefault="004B75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2982B" w14:textId="77777777" w:rsidR="006304DF" w:rsidRDefault="006304DF" w:rsidP="00BB2420">
      <w:pPr>
        <w:spacing w:after="0" w:line="240" w:lineRule="auto"/>
      </w:pPr>
      <w:r>
        <w:separator/>
      </w:r>
    </w:p>
  </w:footnote>
  <w:footnote w:type="continuationSeparator" w:id="0">
    <w:p w14:paraId="1C2B05F4" w14:textId="77777777" w:rsidR="006304DF" w:rsidRDefault="006304DF" w:rsidP="00BB2420">
      <w:pPr>
        <w:spacing w:after="0" w:line="240" w:lineRule="auto"/>
      </w:pPr>
      <w:r>
        <w:continuationSeparator/>
      </w:r>
    </w:p>
  </w:footnote>
  <w:footnote w:id="1">
    <w:p w14:paraId="6F5D7F8E" w14:textId="77777777" w:rsidR="004B75C9" w:rsidRDefault="004B75C9" w:rsidP="0039123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36F84"/>
    <w:rsid w:val="00043DD9"/>
    <w:rsid w:val="00044D68"/>
    <w:rsid w:val="00047D9D"/>
    <w:rsid w:val="00052C85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714F"/>
    <w:rsid w:val="000E0060"/>
    <w:rsid w:val="000E1828"/>
    <w:rsid w:val="000E4BF8"/>
    <w:rsid w:val="000F20A9"/>
    <w:rsid w:val="000F307B"/>
    <w:rsid w:val="000F30B9"/>
    <w:rsid w:val="000F37FF"/>
    <w:rsid w:val="000F7325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3D73"/>
    <w:rsid w:val="001656B1"/>
    <w:rsid w:val="001713F4"/>
    <w:rsid w:val="00176FBB"/>
    <w:rsid w:val="00181E97"/>
    <w:rsid w:val="00182A08"/>
    <w:rsid w:val="0018611A"/>
    <w:rsid w:val="001942DA"/>
    <w:rsid w:val="001A2EF2"/>
    <w:rsid w:val="001C2D74"/>
    <w:rsid w:val="001C7FAC"/>
    <w:rsid w:val="001D167C"/>
    <w:rsid w:val="001E0CAC"/>
    <w:rsid w:val="001E16A3"/>
    <w:rsid w:val="001E1DEA"/>
    <w:rsid w:val="001E2B76"/>
    <w:rsid w:val="001E7199"/>
    <w:rsid w:val="001F24A0"/>
    <w:rsid w:val="001F67EC"/>
    <w:rsid w:val="0020330A"/>
    <w:rsid w:val="00224E84"/>
    <w:rsid w:val="00237279"/>
    <w:rsid w:val="00240D69"/>
    <w:rsid w:val="00241B5E"/>
    <w:rsid w:val="002462DE"/>
    <w:rsid w:val="00252087"/>
    <w:rsid w:val="00263392"/>
    <w:rsid w:val="00265194"/>
    <w:rsid w:val="00270DE2"/>
    <w:rsid w:val="00276C00"/>
    <w:rsid w:val="002825F1"/>
    <w:rsid w:val="00283AB9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18CA"/>
    <w:rsid w:val="00334A24"/>
    <w:rsid w:val="003410FE"/>
    <w:rsid w:val="003508E7"/>
    <w:rsid w:val="003542F1"/>
    <w:rsid w:val="00356A3E"/>
    <w:rsid w:val="003642B8"/>
    <w:rsid w:val="00364F11"/>
    <w:rsid w:val="0039123A"/>
    <w:rsid w:val="003925A8"/>
    <w:rsid w:val="00392919"/>
    <w:rsid w:val="00392B2A"/>
    <w:rsid w:val="003A4115"/>
    <w:rsid w:val="003B5B7A"/>
    <w:rsid w:val="003C7325"/>
    <w:rsid w:val="003C7729"/>
    <w:rsid w:val="003D1004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70DC"/>
    <w:rsid w:val="004B75C9"/>
    <w:rsid w:val="004C1D48"/>
    <w:rsid w:val="004D65CA"/>
    <w:rsid w:val="004F6E89"/>
    <w:rsid w:val="004F6EAF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74F7"/>
    <w:rsid w:val="005548F2"/>
    <w:rsid w:val="005734CE"/>
    <w:rsid w:val="005840AB"/>
    <w:rsid w:val="00586664"/>
    <w:rsid w:val="00586BEC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57D"/>
    <w:rsid w:val="005E6ABD"/>
    <w:rsid w:val="005F41FA"/>
    <w:rsid w:val="00600AE4"/>
    <w:rsid w:val="006054AA"/>
    <w:rsid w:val="0062054D"/>
    <w:rsid w:val="006304DF"/>
    <w:rsid w:val="006334BF"/>
    <w:rsid w:val="00635A54"/>
    <w:rsid w:val="00661A62"/>
    <w:rsid w:val="006731D9"/>
    <w:rsid w:val="00675E36"/>
    <w:rsid w:val="00680291"/>
    <w:rsid w:val="006822BC"/>
    <w:rsid w:val="006948D3"/>
    <w:rsid w:val="006A60AA"/>
    <w:rsid w:val="006B034F"/>
    <w:rsid w:val="006B5117"/>
    <w:rsid w:val="006C78AE"/>
    <w:rsid w:val="006D61D8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174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29DA"/>
    <w:rsid w:val="0087452F"/>
    <w:rsid w:val="00875528"/>
    <w:rsid w:val="00884686"/>
    <w:rsid w:val="008A332F"/>
    <w:rsid w:val="008A52F6"/>
    <w:rsid w:val="008B55BE"/>
    <w:rsid w:val="008C4BCD"/>
    <w:rsid w:val="008C6721"/>
    <w:rsid w:val="008D3826"/>
    <w:rsid w:val="008D5A53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4668"/>
    <w:rsid w:val="0095183B"/>
    <w:rsid w:val="00952126"/>
    <w:rsid w:val="00952617"/>
    <w:rsid w:val="009536BE"/>
    <w:rsid w:val="00954C46"/>
    <w:rsid w:val="009663A6"/>
    <w:rsid w:val="00971A40"/>
    <w:rsid w:val="00976434"/>
    <w:rsid w:val="009808EC"/>
    <w:rsid w:val="0098782C"/>
    <w:rsid w:val="00992EA3"/>
    <w:rsid w:val="009967CA"/>
    <w:rsid w:val="009A0528"/>
    <w:rsid w:val="009A17FF"/>
    <w:rsid w:val="009A63DD"/>
    <w:rsid w:val="009B4423"/>
    <w:rsid w:val="009C6140"/>
    <w:rsid w:val="009D2FA4"/>
    <w:rsid w:val="009D7D8A"/>
    <w:rsid w:val="009E4C67"/>
    <w:rsid w:val="009F09BF"/>
    <w:rsid w:val="009F1DC8"/>
    <w:rsid w:val="009F437E"/>
    <w:rsid w:val="009F56AE"/>
    <w:rsid w:val="00A11788"/>
    <w:rsid w:val="00A1799E"/>
    <w:rsid w:val="00A24608"/>
    <w:rsid w:val="00A30847"/>
    <w:rsid w:val="00A315AD"/>
    <w:rsid w:val="00A3227E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0EE5"/>
    <w:rsid w:val="00B41415"/>
    <w:rsid w:val="00B440C3"/>
    <w:rsid w:val="00B46B7D"/>
    <w:rsid w:val="00B50560"/>
    <w:rsid w:val="00B5532F"/>
    <w:rsid w:val="00B60735"/>
    <w:rsid w:val="00B64B3C"/>
    <w:rsid w:val="00B66689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6DB6"/>
    <w:rsid w:val="00C1106C"/>
    <w:rsid w:val="00C26361"/>
    <w:rsid w:val="00C302F1"/>
    <w:rsid w:val="00C3575F"/>
    <w:rsid w:val="00C42321"/>
    <w:rsid w:val="00C42AEA"/>
    <w:rsid w:val="00C57985"/>
    <w:rsid w:val="00C6751B"/>
    <w:rsid w:val="00CA516B"/>
    <w:rsid w:val="00CA6DC7"/>
    <w:rsid w:val="00CC7E21"/>
    <w:rsid w:val="00CD2BDB"/>
    <w:rsid w:val="00CE74F9"/>
    <w:rsid w:val="00CE7777"/>
    <w:rsid w:val="00CF03D9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3F4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8E"/>
    <w:rsid w:val="00E57BB7"/>
    <w:rsid w:val="00E61CB0"/>
    <w:rsid w:val="00E63EF8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6718A"/>
    <w:rsid w:val="00F72D91"/>
    <w:rsid w:val="00F76777"/>
    <w:rsid w:val="00F83F2F"/>
    <w:rsid w:val="00F86555"/>
    <w:rsid w:val="00F86C58"/>
    <w:rsid w:val="00FC30C7"/>
    <w:rsid w:val="00FC3B03"/>
    <w:rsid w:val="00FE1AE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98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C1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ur.Piotrowski@s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96FC9-DCC6-4613-BFDB-CB5D3167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1552</Words>
  <Characters>9318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2021-03-23T14:38:00Z</dcterms:created>
  <dcterms:modified xsi:type="dcterms:W3CDTF">2021-03-23T14:38:00Z</dcterms:modified>
</cp:coreProperties>
</file>